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3FF" w:rsidRPr="00C92DB7" w:rsidRDefault="004D73FF" w:rsidP="004D73FF">
      <w:pPr>
        <w:pStyle w:val="1"/>
        <w:jc w:val="right"/>
        <w:rPr>
          <w:rFonts w:ascii="Times New Roman" w:hAnsi="Times New Roman"/>
          <w:sz w:val="24"/>
          <w:u w:val="single"/>
        </w:rPr>
      </w:pPr>
      <w:r w:rsidRPr="00C92DB7">
        <w:rPr>
          <w:rFonts w:ascii="Times New Roman" w:hAnsi="Times New Roman"/>
          <w:sz w:val="24"/>
          <w:u w:val="single"/>
        </w:rPr>
        <w:t>Приложение № 6</w:t>
      </w:r>
      <w:r w:rsidRPr="00C92DB7">
        <w:rPr>
          <w:rFonts w:ascii="Times New Roman" w:hAnsi="Times New Roman"/>
          <w:sz w:val="24"/>
          <w:u w:val="single"/>
        </w:rPr>
        <w:br/>
        <w:t>к извещению о проведении открытого конкурса в электронной форме</w:t>
      </w:r>
    </w:p>
    <w:p w:rsidR="004D73FF" w:rsidRPr="00C92DB7" w:rsidRDefault="004D73FF" w:rsidP="004D73FF">
      <w:pPr>
        <w:jc w:val="right"/>
        <w:rPr>
          <w:rFonts w:ascii="Times New Roman" w:eastAsia="Times New Roman" w:hAnsi="Times New Roman" w:cs="Times New Roman"/>
          <w:u w:val="single"/>
          <w:lang w:eastAsia="ru-RU"/>
        </w:rPr>
      </w:pPr>
    </w:p>
    <w:p w:rsidR="004D73FF" w:rsidRPr="00A3435B" w:rsidRDefault="004D73FF" w:rsidP="004D73FF">
      <w:pPr>
        <w:jc w:val="center"/>
        <w:rPr>
          <w:rFonts w:ascii="Times New Roman" w:hAnsi="Times New Roman" w:cs="Times New Roman"/>
          <w:b/>
          <w:bCs/>
        </w:rPr>
      </w:pPr>
      <w:r w:rsidRPr="00A3435B">
        <w:rPr>
          <w:rFonts w:ascii="Times New Roman" w:hAnsi="Times New Roman" w:cs="Times New Roman"/>
          <w:b/>
          <w:bCs/>
        </w:rPr>
        <w:t>Обоснование начальной (максимальной) цены контракта</w:t>
      </w:r>
    </w:p>
    <w:tbl>
      <w:tblPr>
        <w:tblW w:w="0" w:type="auto"/>
        <w:tblInd w:w="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5751"/>
      </w:tblGrid>
      <w:tr w:rsidR="004D73FF" w:rsidRPr="00A3435B" w:rsidTr="008A2FCE">
        <w:tc>
          <w:tcPr>
            <w:tcW w:w="3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:rsidR="004D73FF" w:rsidRPr="00A3435B" w:rsidRDefault="004D73FF" w:rsidP="008A2FCE">
            <w:pPr>
              <w:autoSpaceDE w:val="0"/>
              <w:autoSpaceDN w:val="0"/>
              <w:spacing w:line="252" w:lineRule="auto"/>
              <w:rPr>
                <w:rFonts w:ascii="Times New Roman" w:hAnsi="Times New Roman"/>
                <w:b/>
              </w:rPr>
            </w:pPr>
            <w:r w:rsidRPr="00A3435B">
              <w:rPr>
                <w:rFonts w:ascii="Times New Roman" w:hAnsi="Times New Roman"/>
                <w:b/>
              </w:rPr>
              <w:t>Основные характеристики объекта закупки</w:t>
            </w:r>
          </w:p>
        </w:tc>
        <w:tc>
          <w:tcPr>
            <w:tcW w:w="5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4D73FF" w:rsidRPr="00A3435B" w:rsidRDefault="004D73FF" w:rsidP="008A2FCE">
            <w:pPr>
              <w:pStyle w:val="a3"/>
              <w:tabs>
                <w:tab w:val="left" w:pos="589"/>
              </w:tabs>
              <w:autoSpaceDE w:val="0"/>
              <w:autoSpaceDN w:val="0"/>
              <w:adjustRightInd w:val="0"/>
              <w:ind w:left="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Оказание аудиторских услуг ПАО Сбербанк, в том числе услуги по: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аудиторской проверке бухгалтерской (финансовой) отчётности Банка, подготовленной в соответствии с требованиями законодательства Российской Федерации, за 2025 г., 2026 г., 2027 г. и 2028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аудиторской проверке публикуемой отчетности Банка, подготовленной на основе установленных в Российский Федерации правил составления бухгалтерской (финансовой) отчетности с учетом действующих ограничений на раскрытие информации, включая нормативные акты и информационные письма Банка России, Правительства Российской Федерации и других органов власти, за 2025 г., 2026 г., 2027 г. и 2028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 xml:space="preserve">аудиторской проверке промежуточной бухгалтерской (финансовой) отчётности Банка, подготовленной в соответствии с требованиями законодательства Российской Федерации, за 6, 9 месяцев 2025 г., 3, 6, 9 месяцев 2026 г., 3, 6, 9 месяцев 2027 г., 3, 6, 9 месяцев 2028 г. </w:t>
            </w:r>
            <w:proofErr w:type="gramStart"/>
            <w:r w:rsidRPr="00A3435B">
              <w:rPr>
                <w:rFonts w:ascii="Times New Roman" w:hAnsi="Times New Roman"/>
              </w:rPr>
              <w:t>и  3</w:t>
            </w:r>
            <w:proofErr w:type="gramEnd"/>
            <w:r w:rsidRPr="00A3435B">
              <w:rPr>
                <w:rFonts w:ascii="Times New Roman" w:hAnsi="Times New Roman"/>
              </w:rPr>
              <w:t xml:space="preserve"> месяца 2029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 xml:space="preserve">аудиторской проверке промежуточной публикуемой отчётности Банка, подготовленной на основе установленных в Российский Федерации правил составления бухгалтерской (финансовой) отчетности с учетом действующих ограничений на раскрытие информации, включая нормативные акты и информационные письма Банка России, Правительства Российской Федерации и других органов власти, за 6, 9 месяцев 2025 г., 3, 6, 9 месяцев 2026 г., 3, 6, 9 месяцев 2027 г., 3, 6, 9 месяцев 2028 г. </w:t>
            </w:r>
            <w:proofErr w:type="gramStart"/>
            <w:r w:rsidRPr="00A3435B">
              <w:rPr>
                <w:rFonts w:ascii="Times New Roman" w:hAnsi="Times New Roman"/>
              </w:rPr>
              <w:t>и  3</w:t>
            </w:r>
            <w:proofErr w:type="gramEnd"/>
            <w:r w:rsidRPr="00A3435B">
              <w:rPr>
                <w:rFonts w:ascii="Times New Roman" w:hAnsi="Times New Roman"/>
              </w:rPr>
              <w:t xml:space="preserve"> месяца 2029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аудиторской проверке консолидированной финансовой отчётности Банка и его дочерних компаний (далее – Группы), подготовленной в соответствии с МСФО, за 2025 г., 2026 г., 2027 г. и 2028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proofErr w:type="gramStart"/>
            <w:r w:rsidRPr="00A3435B">
              <w:rPr>
                <w:rFonts w:ascii="Times New Roman" w:hAnsi="Times New Roman"/>
              </w:rPr>
              <w:t>аудиторской проверке</w:t>
            </w:r>
            <w:proofErr w:type="gramEnd"/>
            <w:r w:rsidRPr="00A3435B">
              <w:rPr>
                <w:rFonts w:ascii="Times New Roman" w:hAnsi="Times New Roman"/>
              </w:rPr>
              <w:t xml:space="preserve"> обобщенной консолидированной финансовой отчётности Группы, или консолидированной финансовой отчётности специального назначения Группы, подготовленной в соответствии с концепцией специального назначения, подготовленных на основе годовых консолидированных финансовых отчетностей Группы, подготовленных в соответствии с МСФО, для целей раскрытия, за 2025 г., 2026 г., 2027 г. и 2028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обзорной проверке промежуточной сокращенной консолидированной финансовой отчётности Группы, подготовленной в соответствии с МСФО (</w:t>
            </w:r>
            <w:proofErr w:type="gramStart"/>
            <w:r w:rsidRPr="00A3435B">
              <w:rPr>
                <w:rFonts w:ascii="Times New Roman" w:hAnsi="Times New Roman"/>
              </w:rPr>
              <w:t>IAS)  34</w:t>
            </w:r>
            <w:proofErr w:type="gramEnd"/>
            <w:r w:rsidRPr="00A3435B">
              <w:rPr>
                <w:rFonts w:ascii="Times New Roman" w:hAnsi="Times New Roman"/>
              </w:rPr>
              <w:t xml:space="preserve"> «Промежуточная финансовая отчетность за 6, 9 месяцев 2025 г.,  3, 6, 9 месяцев 2026 г.,  3, 6, 9 месяцев  2027 г., 3, 6, 9 месяцев  2028 г. и  3 месяца 2029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lastRenderedPageBreak/>
              <w:t>обзорной проверке промежуточной сокращенной обобщенной консолидированной финансовой отчётности Группы или промежуточной сокращенной консолидированной финансовой отчётности специального назначения Группы, подготовленной в соответствии с концепцией специального назначения, подготовленных на основе промежуточной сокращенной консолидированной финансовой отчетности Группы, подготовленной в соответствии с МСФО (IAS)  34 «Промежуточная финансовая отчетность, для целей раскрытия, за 6, 9 месяцев 2025 г.,  3, 6, 9 месяцев 2026 г.,  3, 6, 9 месяцев  2027 г., 3, 6, 9 месяцев  2028 г. и  3 месяца 2029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аудиторской проверке групповых форм отчетности (ГФО) Группы ООО «СБ КИБ Холдинг», подготовленных в соответствии с учетной политикой Банка по МСФО, за 2025 г., 2026 г., 2027 г. и 2028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обзорной проверке ГФО Группы ООО «СБ КИБ Холдинг</w:t>
            </w:r>
            <w:proofErr w:type="gramStart"/>
            <w:r w:rsidRPr="00A3435B">
              <w:rPr>
                <w:rFonts w:ascii="Times New Roman" w:hAnsi="Times New Roman"/>
              </w:rPr>
              <w:t>» ,</w:t>
            </w:r>
            <w:proofErr w:type="gramEnd"/>
            <w:r w:rsidRPr="00A3435B">
              <w:rPr>
                <w:rFonts w:ascii="Times New Roman" w:hAnsi="Times New Roman"/>
              </w:rPr>
              <w:t xml:space="preserve"> подготовленных в соответствии с учетной политикой Банка по МСФО, за 6, 9 месяцев 2025 г.,  3, 6, 9 месяцев 2026 г.,  3, 6, 9 месяцев  2027 г., 3, 6, 9 месяцев  2028 г. и  3 месяца 2029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аудиторской проверке ГФО Группы ООО «Сбербанк Инвестиции», подготовленных в соответствии с учетной политикой Банка по МСФО, за 2025 г., 2026 г., 2027 г. и 2028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обзорной проверке ГФО Группы ООО «Сбербанк Инвестиции», подготовленных в соответствии с учетной политикой Банка по МСФО, за 6, 9 месяцев 2025 г.</w:t>
            </w:r>
            <w:proofErr w:type="gramStart"/>
            <w:r w:rsidRPr="00A3435B">
              <w:rPr>
                <w:rFonts w:ascii="Times New Roman" w:hAnsi="Times New Roman"/>
              </w:rPr>
              <w:t>,  3</w:t>
            </w:r>
            <w:proofErr w:type="gramEnd"/>
            <w:r w:rsidRPr="00A3435B">
              <w:rPr>
                <w:rFonts w:ascii="Times New Roman" w:hAnsi="Times New Roman"/>
              </w:rPr>
              <w:t>, 6, 9 месяцев 2026 г.,  3, 6, 9 месяцев  2027 г., 3, 6, 9 месяцев  2028 г. и  3 месяца 2029 г.;</w:t>
            </w:r>
          </w:p>
          <w:p w:rsidR="004D73FF" w:rsidRPr="00A3435B" w:rsidRDefault="004D73FF" w:rsidP="004D73FF">
            <w:pPr>
              <w:pStyle w:val="a3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подготовке и предоставлению Отчетов с рекомендациями по системам внутреннего контроля и в области ведения бухгалтерского учета по итогам аудиторских проверок отчетности Банка и ГФО за 2025 г., 2026 г., 2027 г. и 2028 г.</w:t>
            </w:r>
          </w:p>
        </w:tc>
      </w:tr>
      <w:tr w:rsidR="004D73FF" w:rsidRPr="00A3435B" w:rsidTr="008A2FCE">
        <w:tc>
          <w:tcPr>
            <w:tcW w:w="3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:rsidR="004D73FF" w:rsidRPr="00A3435B" w:rsidRDefault="004D73FF" w:rsidP="008A2FCE">
            <w:pPr>
              <w:autoSpaceDE w:val="0"/>
              <w:autoSpaceDN w:val="0"/>
              <w:spacing w:line="252" w:lineRule="auto"/>
              <w:rPr>
                <w:rFonts w:ascii="Times New Roman" w:hAnsi="Times New Roman"/>
                <w:b/>
              </w:rPr>
            </w:pPr>
            <w:r w:rsidRPr="00A3435B">
              <w:rPr>
                <w:rFonts w:ascii="Times New Roman" w:hAnsi="Times New Roman"/>
                <w:b/>
              </w:rPr>
              <w:lastRenderedPageBreak/>
              <w:t>Используемый метод определения НМЦК с обоснованием:</w:t>
            </w:r>
          </w:p>
        </w:tc>
        <w:tc>
          <w:tcPr>
            <w:tcW w:w="5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4D73FF" w:rsidRPr="00A3435B" w:rsidRDefault="004D73FF" w:rsidP="008A2FCE">
            <w:pPr>
              <w:autoSpaceDE w:val="0"/>
              <w:autoSpaceDN w:val="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метод сопоставимых рыночных цен (анализа рынка)</w:t>
            </w:r>
          </w:p>
        </w:tc>
      </w:tr>
      <w:tr w:rsidR="004D73FF" w:rsidRPr="00A3435B" w:rsidTr="008A2FCE">
        <w:tc>
          <w:tcPr>
            <w:tcW w:w="3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:rsidR="004D73FF" w:rsidRPr="00A3435B" w:rsidRDefault="004D73FF" w:rsidP="008A2FCE">
            <w:pPr>
              <w:autoSpaceDE w:val="0"/>
              <w:autoSpaceDN w:val="0"/>
              <w:spacing w:line="252" w:lineRule="auto"/>
              <w:rPr>
                <w:rFonts w:ascii="Times New Roman" w:hAnsi="Times New Roman"/>
                <w:b/>
              </w:rPr>
            </w:pPr>
            <w:r w:rsidRPr="00A3435B">
              <w:rPr>
                <w:rFonts w:ascii="Times New Roman" w:hAnsi="Times New Roman"/>
                <w:b/>
              </w:rPr>
              <w:t>Расчет НМЦК</w:t>
            </w:r>
          </w:p>
        </w:tc>
        <w:tc>
          <w:tcPr>
            <w:tcW w:w="5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4D73FF" w:rsidRPr="00A3435B" w:rsidRDefault="004D73FF" w:rsidP="008A2FCE">
            <w:pPr>
              <w:spacing w:after="120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ПАО Сбербанк были направлены запросы в четыре аудиторские компании, которые могут оказывать данные услуги, по результатам были получены два коммерческих предложения, и две компании от их подготовки отказались. Также использована ценовая информация из ранее заключенного контракта, размещенного в реестре контрактов, с учетом коэффициента инфляции за истекший период. По запросу ПАО Сбербанк была получена следующая информация о стоимости аудиторских услуг: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67"/>
              <w:gridCol w:w="2732"/>
            </w:tblGrid>
            <w:tr w:rsidR="004D73FF" w:rsidRPr="00A3435B" w:rsidTr="008A2FCE">
              <w:tc>
                <w:tcPr>
                  <w:tcW w:w="276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jc w:val="center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t>Аудиторские компании</w:t>
                  </w:r>
                </w:p>
              </w:tc>
              <w:tc>
                <w:tcPr>
                  <w:tcW w:w="273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t>Сумма с учетом НДС, руб.</w:t>
                  </w:r>
                </w:p>
              </w:tc>
            </w:tr>
            <w:tr w:rsidR="004D73FF" w:rsidRPr="00A3435B" w:rsidTr="008A2FCE">
              <w:tc>
                <w:tcPr>
                  <w:tcW w:w="276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t>Компания А, коммерческое предложение № б/н от 24.09.2024 г.</w:t>
                  </w:r>
                </w:p>
              </w:tc>
              <w:tc>
                <w:tcPr>
                  <w:tcW w:w="273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jc w:val="right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t xml:space="preserve"> 1 274 000 000,00 </w:t>
                  </w:r>
                </w:p>
              </w:tc>
            </w:tr>
            <w:tr w:rsidR="004D73FF" w:rsidRPr="00A3435B" w:rsidTr="008A2FCE">
              <w:tc>
                <w:tcPr>
                  <w:tcW w:w="276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lastRenderedPageBreak/>
                    <w:t>Компания Б, коммерческое предложение № 0000106433 от 19.09.2024 г.</w:t>
                  </w:r>
                </w:p>
              </w:tc>
              <w:tc>
                <w:tcPr>
                  <w:tcW w:w="273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jc w:val="right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t xml:space="preserve"> 1 080 000 000,00 </w:t>
                  </w:r>
                </w:p>
              </w:tc>
            </w:tr>
            <w:tr w:rsidR="004D73FF" w:rsidRPr="00A3435B" w:rsidTr="008A2FCE">
              <w:tc>
                <w:tcPr>
                  <w:tcW w:w="276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t>Компания В, контракт № 18950000008210000020001 от 17.02.2022, с учетом примененных коэффициента инфляции и коэффициента с целью обеспечения сопоставимости объемов услуг.</w:t>
                  </w:r>
                </w:p>
              </w:tc>
              <w:tc>
                <w:tcPr>
                  <w:tcW w:w="2732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D73FF" w:rsidRPr="00A3435B" w:rsidRDefault="004D73FF" w:rsidP="008A2FCE">
                  <w:pPr>
                    <w:autoSpaceDE w:val="0"/>
                    <w:autoSpaceDN w:val="0"/>
                    <w:spacing w:before="100" w:after="100"/>
                    <w:jc w:val="right"/>
                    <w:rPr>
                      <w:rFonts w:ascii="Times New Roman" w:hAnsi="Times New Roman"/>
                    </w:rPr>
                  </w:pPr>
                  <w:r w:rsidRPr="00A3435B">
                    <w:rPr>
                      <w:rFonts w:ascii="Times New Roman" w:hAnsi="Times New Roman"/>
                    </w:rPr>
                    <w:t xml:space="preserve"> 846 279 000,00 </w:t>
                  </w:r>
                </w:p>
              </w:tc>
            </w:tr>
          </w:tbl>
          <w:p w:rsidR="004D73FF" w:rsidRPr="00A3435B" w:rsidRDefault="004D73FF" w:rsidP="00FC6785">
            <w:pPr>
              <w:spacing w:line="360" w:lineRule="auto"/>
              <w:rPr>
                <w:rFonts w:ascii="Times New Roman" w:hAnsi="Times New Roman"/>
              </w:rPr>
            </w:pPr>
          </w:p>
          <w:p w:rsidR="004D73FF" w:rsidRPr="00A3435B" w:rsidRDefault="004D73FF" w:rsidP="00A3435B">
            <w:pPr>
              <w:pStyle w:val="ConsTitle"/>
              <w:rPr>
                <w:sz w:val="20"/>
                <w:szCs w:val="20"/>
              </w:rPr>
            </w:pPr>
            <w:bookmarkStart w:id="0" w:name="_GoBack"/>
            <w:bookmarkEnd w:id="0"/>
            <w:r w:rsidRPr="00A3435B">
              <w:rPr>
                <w:rFonts w:ascii="Times New Roman" w:hAnsi="Times New Roman" w:cs="Times New Roman"/>
                <w:sz w:val="20"/>
                <w:szCs w:val="20"/>
              </w:rPr>
              <w:t>Среднее значение от указанных финансовых предложений составило 1 066 759 667,00 руб., с учетом НДС. Коэффициент вариации составил 14,2%, с учетом чего совокупность значений, используемых в расчете, при определении начальной (максимальной) цены контракта является однородной (не превышает 33%).</w:t>
            </w:r>
          </w:p>
          <w:p w:rsidR="004D73FF" w:rsidRPr="00A3435B" w:rsidRDefault="004D73FF" w:rsidP="008A2FCE">
            <w:pPr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t>В этой связи начальная (максимальная) цена контракта определена в размере</w:t>
            </w:r>
            <w:r w:rsidRPr="00A3435B">
              <w:rPr>
                <w:rFonts w:ascii="Times New Roman" w:hAnsi="Times New Roman"/>
                <w:b/>
              </w:rPr>
              <w:t xml:space="preserve"> 1 066 759 667,00 рублей с учетом НДС.</w:t>
            </w:r>
          </w:p>
        </w:tc>
      </w:tr>
      <w:tr w:rsidR="004D73FF" w:rsidRPr="00A3435B" w:rsidTr="008A2FCE">
        <w:tc>
          <w:tcPr>
            <w:tcW w:w="963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:rsidR="004D73FF" w:rsidRPr="00A3435B" w:rsidRDefault="004D73FF" w:rsidP="008A2FCE">
            <w:pPr>
              <w:autoSpaceDE w:val="0"/>
              <w:autoSpaceDN w:val="0"/>
              <w:spacing w:line="252" w:lineRule="auto"/>
              <w:jc w:val="center"/>
              <w:rPr>
                <w:rFonts w:ascii="Times New Roman" w:hAnsi="Times New Roman"/>
              </w:rPr>
            </w:pPr>
            <w:r w:rsidRPr="00A3435B">
              <w:rPr>
                <w:rFonts w:ascii="Times New Roman" w:hAnsi="Times New Roman"/>
              </w:rPr>
              <w:lastRenderedPageBreak/>
              <w:t xml:space="preserve">Дата подготовки обоснования НМЦК: </w:t>
            </w:r>
            <w:r w:rsidRPr="00A3435B">
              <w:rPr>
                <w:rFonts w:ascii="Times New Roman" w:hAnsi="Times New Roman"/>
                <w:b/>
              </w:rPr>
              <w:t>20.11.2024 года</w:t>
            </w:r>
          </w:p>
        </w:tc>
      </w:tr>
    </w:tbl>
    <w:p w:rsidR="00D95CFA" w:rsidRPr="00A3435B" w:rsidRDefault="00D95CFA">
      <w:pPr>
        <w:rPr>
          <w:rFonts w:ascii="Times New Roman" w:hAnsi="Times New Roman" w:cs="Times New Roman"/>
        </w:rPr>
      </w:pPr>
    </w:p>
    <w:sectPr w:rsidR="00D95CFA" w:rsidRPr="00A3435B" w:rsidSect="004D73F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67E13"/>
    <w:multiLevelType w:val="hybridMultilevel"/>
    <w:tmpl w:val="C3BA48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3FF"/>
    <w:rsid w:val="004D73FF"/>
    <w:rsid w:val="00930A8B"/>
    <w:rsid w:val="00A3435B"/>
    <w:rsid w:val="00C631C3"/>
    <w:rsid w:val="00D95CFA"/>
    <w:rsid w:val="00FC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9C8F"/>
  <w15:chartTrackingRefBased/>
  <w15:docId w15:val="{F438A147-6544-4BFA-B21B-BD717424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73FF"/>
    <w:pPr>
      <w:spacing w:after="200" w:line="276" w:lineRule="auto"/>
      <w:jc w:val="both"/>
    </w:pPr>
    <w:rPr>
      <w:rFonts w:eastAsiaTheme="minorEastAsia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4D73FF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3FF"/>
    <w:rPr>
      <w:rFonts w:eastAsiaTheme="minorEastAsia"/>
      <w:smallCaps/>
      <w:spacing w:val="5"/>
      <w:sz w:val="32"/>
      <w:szCs w:val="32"/>
    </w:rPr>
  </w:style>
  <w:style w:type="paragraph" w:styleId="a3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Use Case List Paragraph,Bullet 1"/>
    <w:basedOn w:val="a"/>
    <w:link w:val="a4"/>
    <w:uiPriority w:val="34"/>
    <w:qFormat/>
    <w:rsid w:val="004D73FF"/>
    <w:pPr>
      <w:ind w:left="720"/>
      <w:contextualSpacing/>
    </w:pPr>
  </w:style>
  <w:style w:type="character" w:customStyle="1" w:styleId="a4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3"/>
    <w:uiPriority w:val="34"/>
    <w:qFormat/>
    <w:rsid w:val="004D73FF"/>
    <w:rPr>
      <w:rFonts w:eastAsiaTheme="minorEastAsia"/>
      <w:sz w:val="20"/>
      <w:szCs w:val="20"/>
    </w:rPr>
  </w:style>
  <w:style w:type="paragraph" w:customStyle="1" w:styleId="ConsTitle">
    <w:name w:val="ConsTitle"/>
    <w:rsid w:val="004D73FF"/>
    <w:pPr>
      <w:autoSpaceDE w:val="0"/>
      <w:autoSpaceDN w:val="0"/>
      <w:adjustRightInd w:val="0"/>
      <w:spacing w:after="200" w:line="276" w:lineRule="auto"/>
      <w:jc w:val="both"/>
    </w:pPr>
    <w:rPr>
      <w:rFonts w:ascii="Arial" w:eastAsia="Times New Roman" w:hAnsi="Arial" w:cs="Arial"/>
      <w:b/>
      <w:bCs/>
      <w:sz w:val="14"/>
      <w:szCs w:val="1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831</Words>
  <Characters>4738</Characters>
  <Application>Microsoft Office Word</Application>
  <DocSecurity>0</DocSecurity>
  <Lines>39</Lines>
  <Paragraphs>11</Paragraphs>
  <ScaleCrop>false</ScaleCrop>
  <Company>ПАО Сбербанк России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Слободяник Виталий Викторович</dc:creator>
  <cp:keywords/>
  <dc:description/>
  <cp:lastModifiedBy>Слободяник Виталий Викторович</cp:lastModifiedBy>
  <cp:revision>3</cp:revision>
  <dcterms:created xsi:type="dcterms:W3CDTF">2024-12-03T13:40:00Z</dcterms:created>
  <dcterms:modified xsi:type="dcterms:W3CDTF">2024-12-04T07:06:00Z</dcterms:modified>
</cp:coreProperties>
</file>