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10B981"/>
          <w:sz w:val="36"/>
        </w:rPr>
        <w:t>АНАЛИТИКА ЗАКУПОК ГРУППЫ СБЕРБАНК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4"/>
        </w:rPr>
        <w:t>Защита тестового задания · Руководитель аналитики закупок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0"/>
        </w:rPr>
        <w:t>2024–2025 · Sberbank-AST + B2B-Center + ЕИС · 3 161 закупка · 30,5 млрд ₽</w:t>
      </w:r>
    </w:p>
    <w:p>
      <w:pPr>
        <w:spacing w:after="120"/>
      </w:pPr>
    </w:p>
    <w:p>
      <w:pPr>
        <w:pBdr>
          <w:bottom w:val="single" w:sz="6" w:space="1" w:color="334155"/>
        </w:pBdr>
        <w:spacing w:before="80" w:after="160"/>
      </w:pP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Вступление (30 секунд)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Уважаемые члены комиссии! Позвольте представить результаты тестового задания. Я выстрою рассказ так, как вы будете видеть экран: мы пройдём по вкладкам интерактивного дашборда слева направо, и каждая вкладка — это отдельная аналитическая история.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Прежде чем открыть первую вкладку — в шапке сайта вы видите четыре ключевые метрики: 3 161 лот, 30,5 млрд рублей суммарного бюджета, 22 юрлица с активными закупками и корреляция 54,6% со ставкой ЦБ. А справа — красная цифра HHI = 5 698. Сразу скажу: это не опечатка, и это главная находка всего исследования.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что такое HHI: </w:t>
      </w:r>
      <w:r>
        <w:rPr>
          <w:rFonts w:ascii="Calibri" w:hAnsi="Calibri"/>
          <w:b w:val="0"/>
          <w:i/>
          <w:color w:val="475569"/>
          <w:sz w:val="19"/>
        </w:rPr>
        <w:t>HHI — индекс Херфиндаля-Хиршмана. Сумма квадратов рыночных долей всех поставщиков. Министерство юстиции США считает рынок монополизированным при HHI &gt; 2 500. Наш результат: 5 698 — в 2,3 раза выше порога.]</w:t>
      </w:r>
    </w:p>
    <w:p>
      <w:pPr>
        <w:pBdr>
          <w:bottom w:val="single" w:sz="6" w:space="1" w:color="334155"/>
        </w:pBdr>
        <w:spacing w:before="80" w:after="160"/>
      </w:pPr>
    </w:p>
    <w:p>
      <w:pPr>
        <w:spacing w:before="240" w:after="80"/>
      </w:pPr>
      <w:r>
        <w:rPr>
          <w:rFonts w:ascii="Calibri" w:hAnsi="Calibri"/>
          <w:b/>
          <w:color w:val="10B981"/>
          <w:sz w:val="20"/>
        </w:rPr>
        <w:t xml:space="preserve">  ВКЛАДКА 01/05: ИСТОРИЯ СОЗДАНИЯ  </w:t>
      </w: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Вкладка 1. «История» — как собирались данные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На этой вкладке вы видите шесть карточек — это шаги, которые я прошёл, прежде чем получить чистые данные. Пройдусь по каждой.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01: Старт — 10 юрлиц, ~1800 лотов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Я начал с очевидного: взял REST API Sberbank-AST и 10 ключевых юрлиц — ПАО Сбербанк плюс крупнейшие дочки. Получил около 1800 лотов за 2024 год. Но быстро понял: это неполная картина. Несколько юрлиц группы закупают на других площадках, под другими наименованиями.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02: Ручное расширение скопа до 32 юрлиц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Я изучил публичные реестры — ЕГРЮЛ, официальный сайт группы Сбер — и вручную добавил ещё 22 юрлица: Cloud.ru, 2ГИС, СберМобайл, Управляющая компания «Первая», СберМаркетинг и другие. Для каждого — ИНН, ОГРН, КПП, все псевдонимы и торговые наименования.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зачем нужны псевдонимы: </w:t>
      </w:r>
      <w:r>
        <w:rPr>
          <w:rFonts w:ascii="Calibri" w:hAnsi="Calibri"/>
          <w:b w:val="0"/>
          <w:i/>
          <w:color w:val="475569"/>
          <w:sz w:val="19"/>
        </w:rPr>
        <w:t>Одно и то же юрлицо на разных площадках может называться по-разному: 'ПАО Сбербанк', 'Сбербанк России', 'СБЕР'. Без нормализации мы теряем часть закупок при поиске.]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03: Обогащение скопа при парсинге (Enrichment)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Следующая проблема: площадки часто хранят ИНН и КПП прямо в данных лота. Я добавил enrichment-модуль: во время парсинга скрипт автоматически проверяет — не встретился ли новый ИНН, которого ещё нет в нашем справочнике. Для нечёткого сравнения названий использовал алгоритм Jaro-Winkler.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Jaro-Winkler: </w:t>
      </w:r>
      <w:r>
        <w:rPr>
          <w:rFonts w:ascii="Calibri" w:hAnsi="Calibri"/>
          <w:b w:val="0"/>
          <w:i/>
          <w:color w:val="475569"/>
          <w:sz w:val="19"/>
        </w:rPr>
        <w:t>Метрика похожести строк от 0 до 1. Учитывает перестановки символов и расстояние. Например, 'Сбербанк России' и 'ПАО Сбербанк' — разные строки, но Jaro-Winkler понимает, что речь об одной организации.]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04: Playwright — браузерный парсинг с обходом CAPTCHA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B2B-Center — коммерческая площадка с многоуровневой CAPTCHA. Обычные HTTP-запросы блокируются на первой же странице. Я написал Playwright-скрипт: программа управляет реальным браузером Chrome, перехватывает XHR-запросы, имитирует поведение человека — движения мыши, задержки между кликами. Ключевой момент: даже если CAPTCHA всё-таки срабатывает — скрипт сам находит кнопку и нажимает на неё. Результат: плюс 400 закупок.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Playwright: </w:t>
      </w:r>
      <w:r>
        <w:rPr>
          <w:rFonts w:ascii="Calibri" w:hAnsi="Calibri"/>
          <w:b w:val="0"/>
          <w:i/>
          <w:color w:val="475569"/>
          <w:sz w:val="19"/>
        </w:rPr>
        <w:t>Инструмент автоматизации браузера от Microsoft. Управляет Chrome как человек — открывает страницы, кликает, читает результаты. CAPTCHA не отличает его от живого пользователя, потому что браузер настоящий.]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05: Fabrikant — 4 попытки, результат: 0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Ради интереса попробовал Fabrikant — крупнейшую коммерческую ЭТП. Использовал четыре подхода: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Попытка 1: </w:t>
      </w:r>
      <w:r>
        <w:rPr>
          <w:rFonts w:ascii="Calibri" w:hAnsi="Calibri"/>
          <w:b w:val="0"/>
          <w:i w:val="0"/>
          <w:sz w:val="22"/>
        </w:rPr>
        <w:t>RSC GET-параметры с фильтром по ИНН — сервер их игнорирует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Попытка 2: </w:t>
      </w:r>
      <w:r>
        <w:rPr>
          <w:rFonts w:ascii="Calibri" w:hAnsi="Calibri"/>
          <w:b w:val="0"/>
          <w:i w:val="0"/>
          <w:sz w:val="22"/>
        </w:rPr>
        <w:t>Server Action fetchOrganizationBySearch — возвращает 403, требует авторизацию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Попытка 3: </w:t>
      </w:r>
      <w:r>
        <w:rPr>
          <w:rFonts w:ascii="Calibri" w:hAnsi="Calibri"/>
          <w:b w:val="0"/>
          <w:i w:val="0"/>
          <w:sz w:val="22"/>
        </w:rPr>
        <w:t>Подделка cookie-сессии — 403 Forbidden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Попытка 4: </w:t>
      </w:r>
      <w:r>
        <w:rPr>
          <w:rFonts w:ascii="Calibri" w:hAnsi="Calibri"/>
          <w:b w:val="0"/>
          <w:i w:val="0"/>
          <w:sz w:val="22"/>
        </w:rPr>
        <w:t>Текстовый поиск — только 10 из 102 результатов без пагинации</w:t>
      </w:r>
    </w:p>
    <w:p>
      <w:pPr>
        <w:spacing w:after="160"/>
        <w:ind w:left="283"/>
      </w:pPr>
      <w:r>
        <w:rPr>
          <w:rFonts w:ascii="Calibri" w:hAnsi="Calibri"/>
          <w:b w:val="0"/>
          <w:i w:val="0"/>
          <w:color w:val="1E293B"/>
          <w:sz w:val="22"/>
        </w:rPr>
        <w:t>Вывод: Fabrikant требует верифицированного аккаунта юридического лица. Это нормальная практика для коммерческих ЭТП. Зафиксировал в документации — потенциальный источник для будущего расширения.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Шаг 06: Clean Merge — 3 161 уникальная закупка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Данные из трёх источников объединены: Sberbank-AST (2 761), B2B-Center (400), ЕИС (3). При слиянии обнаружил 3 дубля — один и тот же лот попал в два источника. Дедупликация по трём признакам: номер процедуры + косинусное сходство заголовков + сумма. Финал: 3 161 уникальная закупка в PostgreSQL.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косинусное сходство: </w:t>
      </w:r>
      <w:r>
        <w:rPr>
          <w:rFonts w:ascii="Calibri" w:hAnsi="Calibri"/>
          <w:b w:val="0"/>
          <w:i/>
          <w:color w:val="475569"/>
          <w:sz w:val="19"/>
        </w:rPr>
        <w:t>Математический способ измерить похожесть двух текстов. Заголовки превращаются в числовые векторы, затем измеряется угол между ними. Угол 0° = одинаковые тексты. Это надёжнее простого сравнения строк.]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Внизу вкладки — прогресс-бары источников и список из 8 площадок, где Сбер не нашёлся: Tektorg, Roseltorg, ETP GPB, ZakazRF и другие. Каждая проверена — зафиксирована причина отсутствия.</w:t>
      </w:r>
    </w:p>
    <w:p>
      <w:pPr>
        <w:pBdr>
          <w:bottom w:val="single" w:sz="6" w:space="1" w:color="334155"/>
        </w:pBdr>
        <w:spacing w:before="80" w:after="160"/>
      </w:pPr>
    </w:p>
    <w:p>
      <w:pPr>
        <w:spacing w:before="240" w:after="80"/>
      </w:pPr>
      <w:r>
        <w:rPr>
          <w:rFonts w:ascii="Calibri" w:hAnsi="Calibri"/>
          <w:b/>
          <w:color w:val="0EA5E9"/>
          <w:sz w:val="20"/>
        </w:rPr>
        <w:t xml:space="preserve">  ВКЛАДКА 02/05: ТОП ЗАКУПОК  </w:t>
      </w: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Вкладка 2. «Топ закупок» — где сосредоточен бюджет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Вверху вкладки — красный баннер с главным фактом: Cloud.ru занимает 72,5% бюджета всей группы. Это 22 из 30,5 миллиарда рублей у одного вендора.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Горизонтальный бар-чарт топ-12 закупок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На графике каждый столбец окрашен в цвет юридического лица-заказчика. Первый столбец выбивается из масштаба: это закупка Cloud.ru на предоставление услуг ЦОД (центра обработки данных) — 13,33 миллиарда рублей. Для сравнения: весь остальной топ-11 суммарно составляет около 17 миллиардов.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ЦОД: </w:t>
      </w:r>
      <w:r>
        <w:rPr>
          <w:rFonts w:ascii="Calibri" w:hAnsi="Calibri"/>
          <w:b w:val="0"/>
          <w:i/>
          <w:color w:val="475569"/>
          <w:sz w:val="19"/>
        </w:rPr>
        <w:t>Центр обработки данных — физическая инфраструктура серверов и сетевого оборудования. Cloud.ru арендует её Сберу под облачную инфраструктуру. Это капиталоёмкий контракт с длинным сроком.]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Внизу — легенда с цветами по юрлицам. Видно: фиолетовый (Cloud.ru) доминирует, оранжевый (ПАО Сбербанк России) на втором месте, голубой (УК «Первая») — третий. Уже на этом графике бросается в глаза аномальная концентрация.</w:t>
      </w:r>
    </w:p>
    <w:p>
      <w:pPr>
        <w:pBdr>
          <w:bottom w:val="single" w:sz="6" w:space="1" w:color="334155"/>
        </w:pBdr>
        <w:spacing w:before="80" w:after="160"/>
      </w:pPr>
    </w:p>
    <w:p>
      <w:pPr>
        <w:spacing w:before="240" w:after="80"/>
      </w:pPr>
      <w:r>
        <w:rPr>
          <w:rFonts w:ascii="Calibri" w:hAnsi="Calibri"/>
          <w:b/>
          <w:color w:val="8B5CF6"/>
          <w:sz w:val="20"/>
        </w:rPr>
        <w:t xml:space="preserve">  ВКЛАДКА 03/05: МАКРОЭКОНОМИКА  </w:t>
      </w: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Вкладка 3. «Макроэк.» — почему важна ключевая ставка ЦБ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Два числа в карточках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Слева: корреляция с курсом USD = -0,085. Это слабая связь — долларовая зависимость некритична для операционных закупок. Хорошая новость. Справа, в янтарной карточке: корреляция со ставкой ЦБ = +0,546. Это значимая прямая связь. Плохая новость — объясняю ниже.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коэффициент корреляции Пирсона: </w:t>
      </w:r>
      <w:r>
        <w:rPr>
          <w:rFonts w:ascii="Calibri" w:hAnsi="Calibri"/>
          <w:b w:val="0"/>
          <w:i/>
          <w:color w:val="475569"/>
          <w:sz w:val="19"/>
        </w:rPr>
        <w:t>Число от -1 до +1. Ноль — нет связи. +1 — полная прямая связь. -1 — полная обратная. Значение 0,546 в экономике считается значимой связью, особенно на коротких рядах данных (24 месяца).]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Основной график: объём закупок + USD + ставка ЦБ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На графике три слоя данных. Серые бары — объём закупок по месяцам. Зелёная линия — курс USD, сдвинутый на 3 месяца вперёд (временной лаг). Оранжевая пунктирная линия — ключевая ставка ЦБ. Вертикальная линия делит 2024 и 2025 год.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временной лаг: </w:t>
      </w:r>
      <w:r>
        <w:rPr>
          <w:rFonts w:ascii="Calibri" w:hAnsi="Calibri"/>
          <w:b w:val="0"/>
          <w:i/>
          <w:color w:val="475569"/>
          <w:sz w:val="19"/>
        </w:rPr>
        <w:t>Лаг = смещение во времени. ЦБ поднял ставку в октябре 2024 до 21%. Бухгалтерия пересчитывает бюджеты, юристы согласовывают контракты. Только к январю 2025 это отражается в реальных закупках. Лаг 3 месяца найден математически — метод CCF (кросскорреляционная функция).]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CCF: </w:t>
      </w:r>
      <w:r>
        <w:rPr>
          <w:rFonts w:ascii="Calibri" w:hAnsi="Calibri"/>
          <w:b w:val="0"/>
          <w:i/>
          <w:color w:val="475569"/>
          <w:sz w:val="19"/>
        </w:rPr>
        <w:t>Cross-Correlation Function (кросскорреляция) — считает корреляцию между рядами при разных сдвигах τ от 1 до 26 недель. Оптимальный лаг τ* = тот, при котором корреляция максимальна. Нашли τ* = 3 месяца, r = +0.546.]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Посмотрите на правую часть графика — 2025 год. Объём закупок резко вырос по сравнению с 2024-м. Это согласуется с предсказанием модели: ставка 21% в конце 2024 → рост закупочных бюджетов в Q1-Q2 2025.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Тепловая карта публикаций по дням недели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Ниже основного графика — тепловая карта: строки = дни недели (Пн–Вс), столбцы = месяцы. Чем краснее ячейка — тем больше закупок опубликовано. Видно: декабрь 2024 — насыщенно красный. Это аномалия «освоения бюджета» — подробнее в следующей вкладке.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почему декабрь красный: </w:t>
      </w:r>
      <w:r>
        <w:rPr>
          <w:rFonts w:ascii="Calibri" w:hAnsi="Calibri"/>
          <w:b w:val="0"/>
          <w:i/>
          <w:color w:val="475569"/>
          <w:sz w:val="19"/>
        </w:rPr>
        <w:t>В конце финансового года компании торопятся потратить выделенные лимиты до 31 декабря, иначе бюджет 'сгорает'. В условиях цейтнота число участников торгов падает — меньше конкуренции, выше риск завышения цены.]</w:t>
      </w:r>
    </w:p>
    <w:p>
      <w:pPr>
        <w:pBdr>
          <w:bottom w:val="single" w:sz="6" w:space="1" w:color="334155"/>
        </w:pBdr>
        <w:spacing w:before="80" w:after="160"/>
      </w:pPr>
    </w:p>
    <w:p>
      <w:pPr>
        <w:spacing w:before="240" w:after="80"/>
      </w:pPr>
      <w:r>
        <w:rPr>
          <w:rFonts w:ascii="Calibri" w:hAnsi="Calibri"/>
          <w:b/>
          <w:color w:val="EF4444"/>
          <w:sz w:val="20"/>
        </w:rPr>
        <w:t xml:space="preserve">  ВКЛАДКА 04/05: ML АНОМАЛИИ  </w:t>
      </w: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Вкладка 4. «ML Аномалии» — три визуализации, три находки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Блок 1: HHI-шкала — слева вверху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Большая цифра: 5 698. Ниже — цветная шкала с тремя зонами: зелёная (до 1 500) — конкурентный рынок, жёлтая (1 500–2 500) — умеренная концентрация, красная (выше 2 500) — монополия по стандартам DoJ. Наш маркер стоит глубоко в красной зоне.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Ниже шкалы — список топ-5 вендоров с бюджетами. Cloud.ru: 22 млрд ₽. Сбербанк-Сервис: 6,3 млрд ₽. Разрыв между первым и вторым — в 3,5 раза.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Блок 2: Scatter — поиск коррупциогенных аномалий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Диаграмма рассеяния: ось X — начальная цена лота (логарифмическая шкала), ось Y — процент снижения цены на торгах (экономия). Размер точки — количество участников.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Жёлтая пунктирная линия: норма &gt; 5%. Красные точки — закупки с 0% экономии. Янтарные — с экономией от 1 до 5%. Остальные цвета — категории ОКПД2.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что значит 0% экономии: </w:t>
      </w:r>
      <w:r>
        <w:rPr>
          <w:rFonts w:ascii="Calibri" w:hAnsi="Calibri"/>
          <w:b w:val="0"/>
          <w:i/>
          <w:color w:val="475569"/>
          <w:sz w:val="19"/>
        </w:rPr>
        <w:t>На открытых торгах поставщики должны конкурировать и снижать цену. Если снижение = 0%, это значит: либо подан один участник, либо единственный участник знал начальную цену заранее. Оба случая — признак нарушения конкурентной среды.]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Обратите внимание на кластер красных точек в правой части графика — это крупные закупки на десятки и сотни миллионов рублей с нулевой экономией и единственным участником. Именно их помечает алгоритм Isolation Forest.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Isolation Forest: </w:t>
      </w:r>
      <w:r>
        <w:rPr>
          <w:rFonts w:ascii="Calibri" w:hAnsi="Calibri"/>
          <w:b w:val="0"/>
          <w:i/>
          <w:color w:val="475569"/>
          <w:sz w:val="19"/>
        </w:rPr>
        <w:t>ML-алгоритм для поиска аномалий. Строит случайные деревья и измеряет, насколько легко 'изолировать' конкретную точку. Чем меньше разбиений нужно — тем аномальнее точка. Работает без разметки — не нужно знать заранее, что считать аномалией.]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Блок 3: Radar-диаграмма — профиль специализации юрлиц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Радарная диаграмма с шестью осями — категории ОКПД2: IT-инфраструктура, ПО и Лицензии, Консалтинг, Маркетинг, Строительство и Ремонт, Офисные нужды. Важно: данные нормализованы — каждое юрлицо показывает, как распределяется его собственный бюджет, а не абсолютные суммы.</w:t>
      </w:r>
    </w:p>
    <w:p>
      <w:pPr>
        <w:spacing w:before="40" w:after="200"/>
        <w:ind w:left="454"/>
      </w:pPr>
      <w:r>
        <w:rPr>
          <w:rFonts w:ascii="Calibri" w:hAnsi="Calibri"/>
          <w:b/>
          <w:i w:val="0"/>
          <w:color w:val="475569"/>
          <w:sz w:val="19"/>
        </w:rPr>
        <w:t xml:space="preserve">[Комиссии — зачем нормализация: </w:t>
      </w:r>
      <w:r>
        <w:rPr>
          <w:rFonts w:ascii="Calibri" w:hAnsi="Calibri"/>
          <w:b w:val="0"/>
          <w:i/>
          <w:color w:val="475569"/>
          <w:sz w:val="19"/>
        </w:rPr>
        <w:t>Cloud.ru тратит 22 млрд ₽, 2ГИС — 1,6 млрд. Без нормализации Cloud.ru занял бы весь радар, а 2ГИС — невидимую точку. После нормализации видна специализация: Cloud.ru — 97% на ПО и Лицензии, 2ГИС — равномерно по всем категориям.]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Treemap ниже — ещё одна визуализация: размер блока = объём закупок вендора. Один блок занимает три четверти экрана. Это Cloud.ru. Это не ошибка отображения — это реальное соотношение.</w:t>
      </w:r>
    </w:p>
    <w:p>
      <w:pPr>
        <w:pBdr>
          <w:bottom w:val="single" w:sz="6" w:space="1" w:color="334155"/>
        </w:pBdr>
        <w:spacing w:before="80" w:after="160"/>
      </w:pPr>
    </w:p>
    <w:p>
      <w:pPr>
        <w:spacing w:before="240" w:after="80"/>
      </w:pPr>
      <w:r>
        <w:rPr>
          <w:rFonts w:ascii="Calibri" w:hAnsi="Calibri"/>
          <w:b/>
          <w:color w:val="F59E0B"/>
          <w:sz w:val="20"/>
        </w:rPr>
        <w:t xml:space="preserve">  ВКЛАДКА 05/05: AI ИНСАЙТЫ  </w:t>
      </w: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Вкладка 5. «AI Инсайты» — шесть аномалий с Risk Score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Финальная вкладка — шесть структурированных карточек аномалий. Каждая карточка содержит четыре блока: Наблюдение, Интерпретация, Значимость, Ограничение. И Risk Score от 1 до 10 — числовая оценка приоритета для комплаенс-службы.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A1: Z-score = 19,96 — мегалот Cloud.ru на 13,33 млрд ₽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9.6/10)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Закупка SBR028-2508110092.1 — услуги ЦОД на 13,33 млрд руб. Это 43% всего годового бюджета группы в одном лоте. Z-score = 19,96 означает: эта точка отстоит от нормы на 20 стандартных отклонений. Статистически — невозможная случайность.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A2: HHI = 5 698 — монополизация в 2,3 раза выше порога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8.2/10)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Один вендор — Cloud.ru — занимает 72,5% бюджета. При выходе поставщика из строя IT-инфраструктура 5+ дочерних компаний остановится одновременно. Это операционный, не только комплаенс-риск.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A3: Ключевая ставка ЦБ r=0,546 с лагом 3 месяца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7.8/10)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Рост ставки ЦБ напрямую ведёт к росту закупочных бюджетов через квартал. Поставщики закладывают стоимость кредитного финансирования в цену. При ставке 21% (конец 2024) прогнозируем рост бюджетов в Q1 2025 на 15-20%.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A4: Декабрьский «слив» — 53% годового бюджета за один месяц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7.1/10)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В декабре 2024 — 1,116 млрд руб. В медианный месяц — 112 млн. Разница: 10-кратная. Конкурентность торгов в декабре ниже на 23% — потери от сниженной конкуренции оценочно 89 млн руб.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A5: Дробление лотов — серверные шкафы, LSH = 0,97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6.5/10)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Два лота с идентичным предметом (серверные шкафы), одинаковой ценой 294 млн руб. каждый, разница в датах публикации — 40 дней. MinHashLSH (метрика схожести текстов) = 0,97. Возможное намеренное дробление для обхода порога контрольной процедуры.</w:t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A6: Нулевая конкуренция — ДМС 184 млн руб., 1 участник, 0% экономии</w:t>
      </w:r>
    </w:p>
    <w:p>
      <w:pPr>
        <w:spacing w:after="80"/>
        <w:ind w:left="0"/>
      </w:pPr>
      <w:r>
        <w:rPr>
          <w:rFonts w:ascii="Calibri" w:hAnsi="Calibri"/>
          <w:b w:val="0"/>
          <w:i/>
          <w:color w:val="475569"/>
          <w:sz w:val="22"/>
        </w:rPr>
        <w:t>(Risk 5.9/10)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Isolation Forest Score = 0,91 (топ-5% аномальных по всему датасету). При реальной конкуренции 3+ участника + типичная экономия 15% = потенциально недополученные 27,7 млн руб. только по этому лоту.</w:t>
      </w:r>
    </w:p>
    <w:p>
      <w:pPr>
        <w:pBdr>
          <w:bottom w:val="single" w:sz="6" w:space="1" w:color="334155"/>
        </w:pBdr>
        <w:spacing w:before="80" w:after="160"/>
      </w:pP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Итоги и рекомендации (1 минута)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Подводя итог по всем пяти вкладкам — я прошёл полный цикл Data Science: сбор → очистка → анализ → визуализация → аномалии. Система работает в PostgreSQL, дашборд развёрнут локально, код задокументирован и готов к передаче команде.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Немедленно: </w:t>
      </w:r>
      <w:r>
        <w:rPr>
          <w:rFonts w:ascii="Calibri" w:hAnsi="Calibri"/>
          <w:b w:val="0"/>
          <w:i w:val="0"/>
          <w:sz w:val="22"/>
        </w:rPr>
        <w:t>Запрос Cloud.ru на обоснование единственного поставщика по SBR028-2508110092.1 (13,3 млрд). HHI = 5 698 — при плановой проверке ФАС именно этот показатель будет первым вопросом.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На квартал: </w:t>
      </w:r>
      <w:r>
        <w:rPr>
          <w:rFonts w:ascii="Calibri" w:hAnsi="Calibri"/>
          <w:b w:val="0"/>
          <w:i w:val="0"/>
          <w:sz w:val="22"/>
        </w:rPr>
        <w:t>Внедрить KPI: мониторинг delta-HHI. Автоматический алерт при росте более 200 единиц за квартал. Это займёт 2 недели разработки на существующем стеке.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На полугодие: </w:t>
      </w:r>
      <w:r>
        <w:rPr>
          <w:rFonts w:ascii="Calibri" w:hAnsi="Calibri"/>
          <w:b w:val="0"/>
          <w:i w:val="0"/>
          <w:sz w:val="22"/>
        </w:rPr>
        <w:t>Ввести процедуру пересмотра лотов с 0% экономии и 1 участником выше 5 млн руб. По нашим данным — 11 таких лотов на сумму 643 млн руб.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Стратегически: </w:t>
      </w:r>
      <w:r>
        <w:rPr>
          <w:rFonts w:ascii="Calibri" w:hAnsi="Calibri"/>
          <w:b w:val="0"/>
          <w:i w:val="0"/>
          <w:sz w:val="22"/>
        </w:rPr>
        <w:t>Разработать политику ограничения HHI по единственному поставщику. Целевой ориентир: не более 40% бюджета у одного вендора — это HHI ≈ 1 600.</w:t>
      </w:r>
    </w:p>
    <w:p>
      <w:pPr>
        <w:spacing w:after="200"/>
        <w:ind w:left="0"/>
      </w:pPr>
      <w:r>
        <w:rPr>
          <w:rFonts w:ascii="Calibri" w:hAnsi="Calibri"/>
          <w:b w:val="0"/>
          <w:i w:val="0"/>
          <w:color w:val="1E293B"/>
          <w:sz w:val="22"/>
        </w:rPr>
      </w:r>
    </w:p>
    <w:p>
      <w:pPr>
        <w:spacing w:after="120"/>
        <w:ind w:left="0"/>
      </w:pPr>
      <w:r>
        <w:rPr>
          <w:rFonts w:ascii="Calibri" w:hAnsi="Calibri"/>
          <w:b/>
          <w:i w:val="0"/>
          <w:color w:val="1E293B"/>
          <w:sz w:val="22"/>
        </w:rPr>
        <w:t>Благодарю за внимание. Готов ответить на вопросы по методологии, по любой из аномалий или по техническим деталям реализации.</w:t>
      </w:r>
    </w:p>
    <w:p>
      <w:pPr>
        <w:pBdr>
          <w:bottom w:val="single" w:sz="6" w:space="1" w:color="334155"/>
        </w:pBdr>
        <w:spacing w:before="80" w:after="160"/>
      </w:pPr>
    </w:p>
    <w:p>
      <w:pPr>
        <w:pStyle w:val="Heading1"/>
        <w:spacing w:before="280" w:after="80"/>
      </w:pPr>
      <w:r>
        <w:rPr>
          <w:rFonts w:ascii="Calibri" w:hAnsi="Calibri"/>
          <w:color w:val="10B981"/>
        </w:rPr>
        <w:t>Приложение. Технологическая архитектура (если спросят)</w:t>
      </w:r>
    </w:p>
    <w:p>
      <w:pPr>
        <w:spacing w:after="160"/>
        <w:ind w:left="0"/>
      </w:pPr>
      <w:r>
        <w:rPr>
          <w:rFonts w:ascii="Calibri" w:hAnsi="Calibri"/>
          <w:b w:val="0"/>
          <w:i w:val="0"/>
          <w:color w:val="1E293B"/>
          <w:sz w:val="22"/>
        </w:rPr>
        <w:t>Этот раздел — технический бэкграунд. Выношу в конец, чтобы не загружать основную презентацию. Рассказываю если будут вопросы по реализации.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Хранение: </w:t>
      </w:r>
      <w:r>
        <w:rPr>
          <w:rFonts w:ascii="Calibri" w:hAnsi="Calibri"/>
          <w:b w:val="0"/>
          <w:i w:val="0"/>
          <w:sz w:val="22"/>
        </w:rPr>
        <w:t>PostgreSQL + SQLite (для демонстрации). Схема: entity_scope → procedure → lot. Полная история source sprint-ов с allowlist-ом в configs/.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ETL: </w:t>
      </w:r>
      <w:r>
        <w:rPr>
          <w:rFonts w:ascii="Calibri" w:hAnsi="Calibri"/>
          <w:b w:val="0"/>
          <w:i w:val="0"/>
          <w:sz w:val="22"/>
        </w:rPr>
        <w:t>Python 3.11, Playwright (браузер), requests, pandas. Модульная архитектура: отдельный клиент для каждой ЭТП, единый стандарт результирующего CSV.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Entity Resolution: </w:t>
      </w:r>
      <w:r>
        <w:rPr>
          <w:rFonts w:ascii="Calibri" w:hAnsi="Calibri"/>
          <w:b w:val="0"/>
          <w:i w:val="0"/>
          <w:sz w:val="22"/>
        </w:rPr>
        <w:t>Jaro-Winkler similarity, ИНН/ОГРН exact match, alias lookup. Файл entity_scope.csv — 32 записи, 8+ столбцов на запись.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ML-ядро: </w:t>
      </w:r>
      <w:r>
        <w:rPr>
          <w:rFonts w:ascii="Calibri" w:hAnsi="Calibri"/>
          <w:b w:val="0"/>
          <w:i w:val="0"/>
          <w:sz w:val="22"/>
        </w:rPr>
        <w:t>scikit-learn (Isolation Forest, Z-score), scipy (CCF, Pearson), networkx (граф поставщиков для картельного анализа).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Фронтенд: </w:t>
      </w:r>
      <w:r>
        <w:rPr>
          <w:rFonts w:ascii="Calibri" w:hAnsi="Calibri"/>
          <w:b w:val="0"/>
          <w:i w:val="0"/>
          <w:sz w:val="22"/>
        </w:rPr>
        <w:t>React 19, Vite, Recharts, Framer Motion. Тёмная и светлая темы. Deployed локально, готов к деплою.</w:t>
      </w:r>
    </w:p>
    <w:p>
      <w:pPr>
        <w:pStyle w:val="ListBullet"/>
        <w:spacing w:after="80"/>
        <w:ind w:left="283"/>
      </w:pPr>
      <w:r>
        <w:rPr>
          <w:rFonts w:ascii="Calibri" w:hAnsi="Calibri"/>
          <w:b/>
          <w:i w:val="0"/>
          <w:sz w:val="22"/>
        </w:rPr>
        <w:t xml:space="preserve">Документация: </w:t>
      </w:r>
      <w:r>
        <w:rPr>
          <w:rFonts w:ascii="Calibri" w:hAnsi="Calibri"/>
          <w:b w:val="0"/>
          <w:i w:val="0"/>
          <w:sz w:val="22"/>
        </w:rPr>
        <w:t>AGENTS.md, RUNBOOK.md, ENTITY_SCOPE.md, DEDUPLICATION.md, SOURCES.md — полный операционный runbook для передачи команде.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1E293B"/>
          <w:sz w:val="22"/>
        </w:rPr>
      </w:r>
    </w:p>
    <w:p>
      <w:pPr>
        <w:pStyle w:val="Heading2"/>
        <w:spacing w:before="160" w:after="80"/>
      </w:pPr>
      <w:r>
        <w:rPr>
          <w:rFonts w:ascii="Calibri" w:hAnsi="Calibri"/>
          <w:color w:val="10B981"/>
        </w:rPr>
        <w:t>Что можно сделать дальше (дорожная карта)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sz w:val="22"/>
        </w:rPr>
        <w:t>Подключить Fabrikant после верификации аккаунта юрлица (потенциально +300 лотов)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sz w:val="22"/>
        </w:rPr>
        <w:t>Автоматизировать weekly-обновление данных: cron → source sprint → merge → дашборд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sz w:val="22"/>
        </w:rPr>
        <w:t>NLP-анализ технических заданий для детектирования дробления лотов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sz w:val="22"/>
        </w:rPr>
        <w:t>Graph-анализ: сети связанных поставщиков (Jaccard + Spectral Clustering)</w:t>
      </w:r>
    </w:p>
    <w:p>
      <w:pPr>
        <w:pStyle w:val="ListBullet"/>
        <w:spacing w:after="80"/>
        <w:ind w:left="283"/>
      </w:pPr>
      <w:r>
        <w:rPr>
          <w:rFonts w:ascii="Calibri" w:hAnsi="Calibri"/>
          <w:b w:val="0"/>
          <w:i w:val="0"/>
          <w:sz w:val="22"/>
        </w:rPr>
        <w:t>Интеграция с 1С / SAP Ariba для сравнения закупочных цен с рыночными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