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7995" cy="1607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Weekly Status Report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2320" cy="1316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-303529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5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2585" cy="1061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-832163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36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Right-click here and choose “Update Field” to build the table of contents.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left="851" w:hanging="851"/>
        <w:rPr>
          <w:color w:val="000000"/>
        </w:rPr>
      </w:pPr>
      <w:bookmarkStart w:colFirst="0" w:colLast="0" w:name="_heading=h.9kvlmekf6dj7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4">
      <w:pPr>
        <w:rPr/>
      </w:pPr>
      <w:bookmarkStart w:colFirst="0" w:colLast="0" w:name="_heading=h.ecu5osnm5xiq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meeting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report per week, from week 2 to week 10 (9 reports). The team lead (or backup) is responsible.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team chooses its own weekly deadline (e.g., the day after the status meeting) and states it in PA1.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report to the repository: /docs/management/weekly/W&lt;week&gt;-status.docx (or .md), e.g., W03-status.docx. Do not overwrite or rewrite earlier reports; the commit history is the evidence of timeliness.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are not submitted on Moodle. They are graded at the end of the course as part of the Teamwork &amp; tool usage component (working process).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Oct 24,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PA2 -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sdt>
              <w:sdtPr>
                <w:id w:val="-1163300147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Huỳnh Trung Ngạn (Team lead / PM)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Green (on track)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tbl>
      <w:tblPr>
        <w:tblStyle w:val="Table2"/>
        <w:tblW w:w="93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00"/>
        <w:gridCol w:w="1785"/>
        <w:gridCol w:w="1275"/>
        <w:gridCol w:w="1365"/>
        <w:gridCol w:w="1110"/>
        <w:gridCol w:w="855"/>
        <w:tblGridChange w:id="0">
          <w:tblGrid>
            <w:gridCol w:w="3000"/>
            <w:gridCol w:w="1785"/>
            <w:gridCol w:w="1275"/>
            <w:gridCol w:w="1365"/>
            <w:gridCol w:w="1110"/>
            <w:gridCol w:w="855"/>
          </w:tblGrid>
        </w:tblGridChange>
      </w:tblGrid>
      <w:tr>
        <w:trPr>
          <w:cantSplit w:val="0"/>
          <w:trHeight w:val="566.93" w:hRule="atLeast"/>
          <w:tblHeader w:val="0"/>
        </w:trPr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 priorities to the requirements </w:t>
            </w:r>
          </w:p>
        </w:tc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>
                <w:sz w:val="20"/>
                <w:szCs w:val="20"/>
              </w:rPr>
            </w:pPr>
            <w:sdt>
              <w:sdtPr>
                <w:id w:val="997487251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Huỳnh Trung Ngạn 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Oct 28 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 an RTM (Requirements Traceability Matrix) 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 4 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do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the functional requirements </w:t>
            </w:r>
          </w:p>
        </w:tc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Lê Đoàn Nhật Huy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Oct 27 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the non-functional requirements 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Oct 27 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business rules 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Oct 29 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use cases 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 6 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actors </w:t>
            </w:r>
          </w:p>
        </w:tc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855649642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Trần Hoàng Minh Khang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 2 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 a prototype / mockups 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 4 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progress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4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 an RTM (Requirements Traceability Matrix) 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sz w:val="20"/>
                <w:szCs w:val="20"/>
              </w:rPr>
            </w:pPr>
            <w:sdt>
              <w:sdtPr>
                <w:id w:val="662717559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Huỳnh Trung Ngạn 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 4 </w:t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 a prototype / mockups 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734460052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Trần Hoàng Minh Khang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 4 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880"/>
        <w:gridCol w:w="1584"/>
        <w:gridCol w:w="2304"/>
        <w:gridCol w:w="1007"/>
        <w:gridCol w:w="864"/>
        <w:tblGridChange w:id="0">
          <w:tblGrid>
            <w:gridCol w:w="720"/>
            <w:gridCol w:w="2880"/>
            <w:gridCol w:w="1584"/>
            <w:gridCol w:w="2304"/>
            <w:gridCol w:w="1007"/>
            <w:gridCol w:w="864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8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5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007"/>
        <w:gridCol w:w="2447"/>
        <w:gridCol w:w="2304"/>
        <w:gridCol w:w="2015"/>
        <w:tblGridChange w:id="0">
          <w:tblGrid>
            <w:gridCol w:w="1584"/>
            <w:gridCol w:w="1007"/>
            <w:gridCol w:w="2447"/>
            <w:gridCol w:w="230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478291792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Huỳnh Trung Ngạn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 priorities to the requirements 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 an RTM (Requirements Traceability Matrix)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Lê Đoàn Nhật Huy</w:t>
            </w:r>
          </w:p>
        </w:tc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the functional requirements, Define the non-functional requirements, Define business rules, List use cases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406671294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Trần Hoàng Minh Khang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actors 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 a prototype / mockups 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1190912577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Trương Hiển Long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C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C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C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D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D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D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D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ijAndHa0IJ0hMpehtMpqqfFqKA==">CgMxLjAaEgoBMBINCgsIB0IHEgVBcmlhbBoSCgExEg0KCwgHQgcSBUFyaWFsGhIKATISDQoLCAdCBxIFQXJpYWwaEgoBMxINCgsIB0IHEgVBcmlhbBoSCgE0Eg0KCwgHQgcSBUFyaWFsGhIKATUSDQoLCAdCBxIFQXJpYWwaEgoBNhINCgsIB0IHEgVBcmlhbBoSCgE3Eg0KCwgHQgcSBUFyaWFsMg5oLjlrdmxtZWtmNmRqNzIOaC5lY3U1b3NubTV4aXE4AHIhMUVESFVsOGd5SjlNSkstYUNSMFRIRDMwMk5fNjN3d1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