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40"/>
      </w:pPr>
      <w:r>
        <w:rPr>
          <w:b/>
          <w:bCs/>
          <w:color w:val="E8611A"/>
          <w:spacing w:val="40"/>
          <w:sz w:val="20"/>
          <w:szCs w:val="20"/>
        </w:rPr>
        <w:t xml:space="preserve">BIGHAMMER · INTERNAL</w:t>
      </w:r>
    </w:p>
    <w:p>
      <w:pPr>
        <w:spacing w:after="120"/>
      </w:pPr>
      <w:r>
        <w:rPr>
          <w:b/>
          <w:bCs/>
          <w:color w:val="1F2430"/>
          <w:sz w:val="64"/>
          <w:szCs w:val="64"/>
        </w:rPr>
        <w:t xml:space="preserve">Personalization Engine</w:t>
      </w:r>
    </w:p>
    <w:p>
      <w:pPr>
        <w:spacing w:after="600"/>
      </w:pPr>
      <w:r>
        <w:rPr>
          <w:color w:val="5B6270"/>
          <w:sz w:val="30"/>
          <w:szCs w:val="30"/>
        </w:rPr>
        <w:t xml:space="preserve">Team handbook: how it works, how to use it, and how it is set up</w:t>
      </w:r>
    </w:p>
    <w:p>
      <w:pPr>
        <w:pBdr>
          <w:bottom w:val="single" w:color="E8611A" w:sz="12" w:space="1"/>
        </w:pBdr>
        <w:spacing w:after="300"/>
      </w:pPr>
    </w:p>
    <w:p>
      <w:pPr>
        <w:spacing w:after="120" w:line="290"/>
      </w:pPr>
      <w:r>
        <w:rPr>
          <w:b/>
          <w:bCs/>
        </w:rPr>
        <w:t xml:space="preserve">Status:</w:t>
      </w:r>
      <w:r>
        <w:t xml:space="preserve"> in team testing, running on a Mac and shared through a temporary link.</w:t>
      </w:r>
    </w:p>
    <w:p>
      <w:pPr>
        <w:spacing w:after="120" w:line="290"/>
      </w:pPr>
      <w:r>
        <w:rPr>
          <w:b/>
          <w:bCs/>
        </w:rPr>
        <w:t xml:space="preserve">Written:</w:t>
      </w:r>
      <w:r>
        <w:t xml:space="preserve"> 26 September 2026, for version </w:t>
      </w:r>
      <w:r>
        <w:rPr>
          <w:rFonts w:ascii="Consolas" w:cs="Consolas" w:eastAsia="Consolas" w:hAnsi="Consolas"/>
          <w:sz w:val="19"/>
          <w:szCs w:val="19"/>
          <w:shd w:fill="F3F4F7" w:color="auto" w:val="clear"/>
        </w:rPr>
        <w:t xml:space="preserve">5a28c04</w:t>
      </w:r>
      <w:r>
        <w:t xml:space="preserve"> of the code.</w:t>
      </w:r>
    </w:p>
    <w:p>
      <w:pPr>
        <w:spacing w:after="120" w:line="290"/>
      </w:pPr>
      <w:r>
        <w:rPr>
          <w:b/>
          <w:bCs/>
        </w:rPr>
        <w:t xml:space="preserve">Code:</w:t>
      </w:r>
      <w:r>
        <w:t xml:space="preserve"> github.com/nelbinxav/personalization-engine (private).</w:t>
      </w:r>
    </w:p>
    <w:p>
      <w:pPr>
        <w:spacing w:after="120" w:line="290"/>
      </w:pPr>
      <w:r>
        <w:rPr>
          <w:b/>
          <w:bCs/>
        </w:rPr>
        <w:t xml:space="preserve">Who this is for:</w:t>
      </w:r>
      <w:r>
        <w:t xml:space="preserve"> the team testing the app, and whoever runs or configures it. Parts 1–3 cover using the app; parts 4–8 cover configuration, running and hosting.</w:t>
      </w:r>
    </w:p>
    <w:p>
      <w:r>
        <w:br w:type="page"/>
      </w:r>
    </w:p>
    <w:p>
      <w:pPr>
        <w:spacing w:after="200"/>
      </w:pPr>
      <w:r>
        <w:rPr>
          <w:b/>
          <w:bCs/>
          <w:color w:val="1F2430"/>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90"/>
      </w:pPr>
      <w:r>
        <w:rPr>
          <w:i/>
          <w:iCs/>
          <w:color w:val="5B6270"/>
          <w:sz w:val="18"/>
          <w:szCs w:val="18"/>
        </w:rPr>
        <w:t xml:space="preserve">If the contents list is empty, right-click it in Word and choose Update Field.</w:t>
      </w:r>
    </w:p>
    <w:p>
      <w:pPr>
        <w:pStyle w:val="Heading1"/>
        <w:pageBreakBefore/>
      </w:pPr>
      <w:r>
        <w:t xml:space="preserve">1. What it is</w:t>
      </w:r>
    </w:p>
    <w:p>
      <w:pPr>
        <w:spacing w:after="120" w:line="290"/>
      </w:pPr>
      <w:r>
        <w:t xml:space="preserve">The Personalization Engine takes a list of prospects from a CSV file or a Google Sheet, researches each one on the web, and writes a personalized outreach message for each: an email, a LinkedIn note or a WhatsApp message.</w:t>
      </w:r>
    </w:p>
    <w:p>
      <w:pPr>
        <w:spacing w:after="120" w:line="290"/>
      </w:pPr>
      <w:r>
        <w:t xml:space="preserve">What makes it different from a mail-merge is that every message has to be </w:t>
      </w:r>
      <w:r>
        <w:rPr>
          <w:b/>
          <w:bCs/>
        </w:rPr>
        <w:t xml:space="preserve">anchored in something real</w:t>
      </w:r>
      <w:r>
        <w:t xml:space="preserve">. Claude may only write an angle it can back with a fact found during research, and it has to quote that fact. When there is nothing solid to say about someone, the row is flagged </w:t>
      </w:r>
      <w:r>
        <w:rPr>
          <w:b/>
          <w:bCs/>
        </w:rPr>
        <w:t xml:space="preserve">Needs review</w:t>
      </w:r>
      <w:r>
        <w:t xml:space="preserve"> instead of receiving an invented compliment.</w:t>
      </w:r>
    </w:p>
    <w:p>
      <w:pPr>
        <w:pStyle w:val="Heading2"/>
      </w:pPr>
      <w:r>
        <w:t xml:space="preserve">In one picture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4694"/>
        <w:gridCol w:w="2888"/>
      </w:tblGrid>
      <w:tr>
        <w:trPr>
          <w:tblHeader/>
        </w:trPr>
        <w:tc>
          <w:tcPr>
            <w:tcW w:type="dxa" w:w="1444"/>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Step</w:t>
            </w:r>
          </w:p>
        </w:tc>
        <w:tc>
          <w:tcPr>
            <w:tcW w:type="dxa" w:w="4694"/>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What happens</w:t>
            </w:r>
          </w:p>
        </w:tc>
        <w:tc>
          <w:tcPr>
            <w:tcW w:type="dxa" w:w="2888"/>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Output</w:t>
            </w:r>
          </w:p>
        </w:tc>
      </w:tr>
      <w:tr>
        <w:tc>
          <w:tcPr>
            <w:tcW w:type="dxa" w:w="1444"/>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1. Import</w:t>
            </w:r>
          </w:p>
        </w:tc>
        <w:tc>
          <w:tcPr>
            <w:tcW w:type="dxa" w:w="4694"/>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A CSV or Google Sheet is loaded. You confirm which column is the name, company, website and so on.</w:t>
            </w:r>
          </w:p>
        </w:tc>
        <w:tc>
          <w:tcPr>
            <w:tcW w:type="dxa" w:w="288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An upload: one row per prospect, original columns kept untouched.</w:t>
            </w:r>
          </w:p>
        </w:tc>
      </w:tr>
      <w:tr>
        <w:tc>
          <w:tcPr>
            <w:tcW w:type="dxa" w:w="1444"/>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2. Research</w:t>
            </w:r>
          </w:p>
        </w:tc>
        <w:tc>
          <w:tcPr>
            <w:tcW w:type="dxa" w:w="4694"/>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For each row, the app fetches the company website, blog/RSS feed, Google News and LinkedIn.</w:t>
            </w:r>
          </w:p>
        </w:tc>
        <w:tc>
          <w:tcPr>
            <w:tcW w:type="dxa" w:w="288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Raw research text per row, per source.</w:t>
            </w:r>
          </w:p>
        </w:tc>
      </w:tr>
      <w:tr>
        <w:tc>
          <w:tcPr>
            <w:tcW w:type="dxa" w:w="1444"/>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3. Personalize</w:t>
            </w:r>
          </w:p>
        </w:tc>
        <w:tc>
          <w:tcPr>
            <w:tcW w:type="dxa" w:w="4694"/>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Claude turns the research into facts, picks an angle it can cite, and writes the message using your template.</w:t>
            </w:r>
          </w:p>
        </w:tc>
        <w:tc>
          <w:tcPr>
            <w:tcW w:type="dxa" w:w="288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Subject (email), message, angle and the evidence behind it.</w:t>
            </w:r>
          </w:p>
        </w:tc>
      </w:tr>
      <w:tr>
        <w:tc>
          <w:tcPr>
            <w:tcW w:type="dxa" w:w="1444"/>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4. Download</w:t>
            </w:r>
          </w:p>
        </w:tc>
        <w:tc>
          <w:tcPr>
            <w:tcW w:type="dxa" w:w="4694"/>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A CSV with your original columns first, in order, then the new columns.</w:t>
            </w:r>
          </w:p>
        </w:tc>
        <w:tc>
          <w:tcPr>
            <w:tcW w:type="dxa" w:w="288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A file you can paste straight back into your sheet or sending tool.</w:t>
            </w:r>
          </w:p>
        </w:tc>
      </w:tr>
    </w:tbl>
    <w:p>
      <w:pPr>
        <w:spacing w:after="80"/>
      </w:pPr>
    </w:p>
    <w:p>
      <w:pPr>
        <w:pStyle w:val="Heading2"/>
      </w:pPr>
      <w:r>
        <w:t xml:space="preserve">Key principles</w:t>
      </w:r>
    </w:p>
    <w:p>
      <w:pPr>
        <w:pStyle w:val="ListParagraph"/>
        <w:numPr>
          <w:ilvl w:val="0"/>
          <w:numId w:val="2"/>
        </w:numPr>
        <w:spacing w:after="80" w:line="280"/>
      </w:pPr>
      <w:r>
        <w:rPr>
          <w:b/>
          <w:bCs/>
        </w:rPr>
        <w:t xml:space="preserve">Trial first.</w:t>
      </w:r>
      <w:r>
        <w:t xml:space="preserve"> Every job defaults to the first 3 rows, so you check quality before spending money on a whole sheet.</w:t>
      </w:r>
    </w:p>
    <w:p>
      <w:pPr>
        <w:pStyle w:val="ListParagraph"/>
        <w:numPr>
          <w:ilvl w:val="0"/>
          <w:numId w:val="2"/>
        </w:numPr>
        <w:spacing w:after="80" w:line="280"/>
      </w:pPr>
      <w:r>
        <w:rPr>
          <w:b/>
          <w:bCs/>
        </w:rPr>
        <w:t xml:space="preserve">One row at a time.</w:t>
      </w:r>
      <w:r>
        <w:t xml:space="preserve"> Each row is its own background task. A failure on row 498 does not stop the other 499 rows, and a row hit by a temporary error retries on its own.</w:t>
      </w:r>
    </w:p>
    <w:p>
      <w:pPr>
        <w:pStyle w:val="ListParagraph"/>
        <w:numPr>
          <w:ilvl w:val="0"/>
          <w:numId w:val="2"/>
        </w:numPr>
        <w:spacing w:after="80" w:line="280"/>
      </w:pPr>
      <w:r>
        <w:rPr>
          <w:b/>
          <w:bCs/>
        </w:rPr>
        <w:t xml:space="preserve">Nothing is overwritten.</w:t>
      </w:r>
      <w:r>
        <w:t xml:space="preserve"> Prompts and templates are versioned. Saving creates a new version, so any past download can be traced to the exact prompt that produced it.</w:t>
      </w:r>
    </w:p>
    <w:p>
      <w:pPr>
        <w:pStyle w:val="ListParagraph"/>
        <w:numPr>
          <w:ilvl w:val="0"/>
          <w:numId w:val="2"/>
        </w:numPr>
        <w:spacing w:after="80" w:line="280"/>
      </w:pPr>
      <w:r>
        <w:rPr>
          <w:b/>
          <w:bCs/>
        </w:rPr>
        <w:t xml:space="preserve">Your data stays in your format.</w:t>
      </w:r>
      <w:r>
        <w:t xml:space="preserve"> Downloads always start with your original columns in their original order.</w:t>
      </w:r>
    </w:p>
    <w:p>
      <w:pPr>
        <w:pStyle w:val="Heading1"/>
        <w:pageBreakBefore/>
      </w:pPr>
      <w:r>
        <w:t xml:space="preserve">2. How it works</w:t>
      </w:r>
    </w:p>
    <w:p>
      <w:pPr>
        <w:pStyle w:val="Heading2"/>
      </w:pPr>
      <w:r>
        <w:t xml:space="preserve">2.1 Research sources</w:t>
      </w:r>
    </w:p>
    <w:p>
      <w:pPr>
        <w:spacing w:after="120" w:line="290"/>
      </w:pPr>
      <w:r>
        <w:t xml:space="preserve">Research runs per row. Each source needs a specific column to be mapped during import; a row without it is </w:t>
      </w:r>
      <w:r>
        <w:rPr>
          <w:b/>
          <w:bCs/>
        </w:rPr>
        <w:t xml:space="preserve">Skipped</w:t>
      </w:r>
      <w:r>
        <w:t xml:space="preserve"> for that source (an absence, not a failure).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2708"/>
        <w:gridCol w:w="2708"/>
      </w:tblGrid>
      <w:tr>
        <w:trPr>
          <w:tblHeader/>
        </w:trPr>
        <w:tc>
          <w:tcPr>
            <w:tcW w:type="dxa" w:w="1805"/>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Source</w:t>
            </w:r>
          </w:p>
        </w:tc>
        <w:tc>
          <w:tcPr>
            <w:tcW w:type="dxa" w:w="1805"/>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Needs this column</w:t>
            </w:r>
          </w:p>
        </w:tc>
        <w:tc>
          <w:tcPr>
            <w:tcW w:type="dxa" w:w="2708"/>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Provider and key</w:t>
            </w:r>
          </w:p>
        </w:tc>
        <w:tc>
          <w:tcPr>
            <w:tcW w:type="dxa" w:w="2708"/>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What it collects</w:t>
            </w:r>
          </w:p>
        </w:tc>
      </w:tr>
      <w:tr>
        <w:tc>
          <w:tcPr>
            <w:tcW w:type="dxa" w:w="1805"/>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Company website</w:t>
            </w:r>
          </w:p>
        </w:tc>
        <w:tc>
          <w:tcPr>
            <w:tcW w:type="dxa" w:w="1805"/>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Website</w:t>
            </w:r>
          </w:p>
        </w:tc>
        <w:tc>
          <w:tcPr>
            <w:tcW w:type="dxa" w:w="270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Jina Reader. Key optional: works without one at a lower rate limit.</w:t>
            </w:r>
          </w:p>
        </w:tc>
        <w:tc>
          <w:tcPr>
            <w:tcW w:type="dxa" w:w="270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The site rendered as clean text.</w:t>
            </w:r>
          </w:p>
        </w:tc>
      </w:tr>
      <w:tr>
        <w:tc>
          <w:tcPr>
            <w:tcW w:type="dxa" w:w="1805"/>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Blog / RSS feed</w:t>
            </w:r>
          </w:p>
        </w:tc>
        <w:tc>
          <w:tcPr>
            <w:tcW w:type="dxa" w:w="1805"/>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Website</w:t>
            </w:r>
          </w:p>
        </w:tc>
        <w:tc>
          <w:tcPr>
            <w:tcW w:type="dxa" w:w="270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None</w:t>
            </w:r>
          </w:p>
        </w:tc>
        <w:tc>
          <w:tcPr>
            <w:tcW w:type="dxa" w:w="270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Recent posts from the site’s feed, if it has one.</w:t>
            </w:r>
          </w:p>
        </w:tc>
      </w:tr>
      <w:tr>
        <w:tc>
          <w:tcPr>
            <w:tcW w:type="dxa" w:w="1805"/>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Google News</w:t>
            </w:r>
          </w:p>
        </w:tc>
        <w:tc>
          <w:tcPr>
            <w:tcW w:type="dxa" w:w="1805"/>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Company</w:t>
            </w:r>
          </w:p>
        </w:tc>
        <w:tc>
          <w:tcPr>
            <w:tcW w:type="dxa" w:w="270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Serper.dev. Key </w:t>
            </w:r>
            <w:r>
              <w:rPr>
                <w:b/>
                <w:bCs/>
                <w:sz w:val="19"/>
                <w:szCs w:val="19"/>
              </w:rPr>
              <w:t xml:space="preserve">required</w:t>
            </w:r>
            <w:r>
              <w:rPr>
                <w:sz w:val="19"/>
                <w:szCs w:val="19"/>
              </w:rPr>
              <w:t xml:space="preserve">.</w:t>
            </w:r>
          </w:p>
        </w:tc>
        <w:tc>
          <w:tcPr>
            <w:tcW w:type="dxa" w:w="270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Recent news about the company.</w:t>
            </w:r>
          </w:p>
        </w:tc>
      </w:tr>
      <w:tr>
        <w:tc>
          <w:tcPr>
            <w:tcW w:type="dxa" w:w="1805"/>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LinkedIn profile</w:t>
            </w:r>
          </w:p>
        </w:tc>
        <w:tc>
          <w:tcPr>
            <w:tcW w:type="dxa" w:w="1805"/>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LinkedIn profile URL</w:t>
            </w:r>
          </w:p>
        </w:tc>
        <w:tc>
          <w:tcPr>
            <w:tcW w:type="dxa" w:w="270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Apify. Key required.</w:t>
            </w:r>
          </w:p>
        </w:tc>
        <w:tc>
          <w:tcPr>
            <w:tcW w:type="dxa" w:w="270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The person’s profile.</w:t>
            </w:r>
          </w:p>
        </w:tc>
      </w:tr>
      <w:tr>
        <w:tc>
          <w:tcPr>
            <w:tcW w:type="dxa" w:w="1805"/>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LinkedIn company page</w:t>
            </w:r>
          </w:p>
        </w:tc>
        <w:tc>
          <w:tcPr>
            <w:tcW w:type="dxa" w:w="1805"/>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LinkedIn company URL</w:t>
            </w:r>
          </w:p>
        </w:tc>
        <w:tc>
          <w:tcPr>
            <w:tcW w:type="dxa" w:w="270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Apify. Key required.</w:t>
            </w:r>
          </w:p>
        </w:tc>
        <w:tc>
          <w:tcPr>
            <w:tcW w:type="dxa" w:w="270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The company page.</w:t>
            </w:r>
          </w:p>
        </w:tc>
      </w:tr>
    </w:tbl>
    <w:p>
      <w:pPr>
        <w:spacing w:after="80"/>
      </w:pPr>
    </w:p>
    <w:p>
      <w:pPr>
        <w:pStyle w:val="Heading3"/>
      </w:pPr>
      <w:r>
        <w:t xml:space="preserve">Research is cached for 7 days</w:t>
      </w:r>
    </w:p>
    <w:p>
      <w:pPr>
        <w:spacing w:after="120" w:line="290"/>
      </w:pPr>
      <w:r>
        <w:t xml:space="preserve">Each source’s result is stored for 7 days, keyed by the address it fetched. If the same website, company or LinkedIn page comes up again within that time (for example in another upload), the stored result is reused instead of fetched and paid for again. Ticking </w:t>
      </w:r>
      <w:r>
        <w:rPr>
          <w:b/>
          <w:bCs/>
        </w:rPr>
        <w:t xml:space="preserve">Redo rows that already have a result</w:t>
      </w:r>
      <w:r>
        <w:t xml:space="preserve"> always fetches fresh.</w:t>
      </w:r>
    </w:p>
    <w:p>
      <w:pPr>
        <w:pBdr>
          <w:left w:val="single" w:color="E8611A" w:sz="18" w:space="10"/>
        </w:pBdr>
        <w:spacing w:after="200" w:before="120" w:line="280"/>
        <w:ind w:left="200"/>
      </w:pPr>
      <w:r>
        <w:rPr>
          <w:b/>
          <w:bCs/>
          <w:color w:val="E8611A"/>
        </w:rPr>
        <w:t xml:space="preserve">Note on LinkedIn.  </w:t>
      </w:r>
      <w:r>
        <w:t xml:space="preserve">LinkedIn data vendors are a moving part: Proxycurl shut down in July 2026 after a lawsuit. The app isolates the vendor in one file, and only Apify is implemented today.</w:t>
      </w:r>
    </w:p>
    <w:p>
      <w:pPr>
        <w:pStyle w:val="Heading2"/>
      </w:pPr>
      <w:r>
        <w:t xml:space="preserve">2.2 The three-stage Claude chain</w:t>
      </w:r>
    </w:p>
    <w:p>
      <w:pPr>
        <w:spacing w:after="120" w:line="290"/>
      </w:pPr>
      <w:r>
        <w:t xml:space="preserve">Personalization runs three Claude calls per row, each with its own editable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2166"/>
        <w:gridCol w:w="2888"/>
        <w:gridCol w:w="2708"/>
      </w:tblGrid>
      <w:tr>
        <w:trPr>
          <w:tblHeader/>
        </w:trPr>
        <w:tc>
          <w:tcPr>
            <w:tcW w:type="dxa" w:w="1264"/>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Stage</w:t>
            </w:r>
          </w:p>
        </w:tc>
        <w:tc>
          <w:tcPr>
            <w:tcW w:type="dxa" w:w="2166"/>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Input</w:t>
            </w:r>
          </w:p>
        </w:tc>
        <w:tc>
          <w:tcPr>
            <w:tcW w:type="dxa" w:w="2888"/>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Output</w:t>
            </w:r>
          </w:p>
        </w:tc>
        <w:tc>
          <w:tcPr>
            <w:tcW w:type="dxa" w:w="2708"/>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Why it exists</w:t>
            </w:r>
          </w:p>
        </w:tc>
      </w:tr>
      <w:tr>
        <w:tc>
          <w:tcPr>
            <w:tcW w:type="dxa" w:w="1264"/>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1. Dossier</w:t>
            </w:r>
          </w:p>
        </w:tc>
        <w:tc>
          <w:tcPr>
            <w:tcW w:type="dxa" w:w="2166"/>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The raw research text</w:t>
            </w:r>
          </w:p>
        </w:tc>
        <w:tc>
          <w:tcPr>
            <w:tcW w:type="dxa" w:w="288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A list of facts, each tagged with the source it came from</w:t>
            </w:r>
          </w:p>
        </w:tc>
        <w:tc>
          <w:tcPr>
            <w:tcW w:type="dxa" w:w="270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Turns messy web text into checkable facts.</w:t>
            </w:r>
          </w:p>
        </w:tc>
      </w:tr>
      <w:tr>
        <w:tc>
          <w:tcPr>
            <w:tcW w:type="dxa" w:w="1264"/>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2. Angle</w:t>
            </w:r>
          </w:p>
        </w:tc>
        <w:tc>
          <w:tcPr>
            <w:tcW w:type="dxa" w:w="2166"/>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The facts + “What we sell”</w:t>
            </w:r>
          </w:p>
        </w:tc>
        <w:tc>
          <w:tcPr>
            <w:tcW w:type="dxa" w:w="288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1–2 angles, each </w:t>
            </w:r>
            <w:r>
              <w:rPr>
                <w:b/>
                <w:bCs/>
                <w:sz w:val="19"/>
                <w:szCs w:val="19"/>
              </w:rPr>
              <w:t xml:space="preserve">citing</w:t>
            </w:r>
            <w:r>
              <w:rPr>
                <w:sz w:val="19"/>
                <w:szCs w:val="19"/>
              </w:rPr>
              <w:t xml:space="preserve"> a specific fact</w:t>
            </w:r>
          </w:p>
        </w:tc>
        <w:tc>
          <w:tcPr>
            <w:tcW w:type="dxa" w:w="270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The anti-hallucination guard: no citation, no angle.</w:t>
            </w:r>
          </w:p>
        </w:tc>
      </w:tr>
      <w:tr>
        <w:tc>
          <w:tcPr>
            <w:tcW w:type="dxa" w:w="1264"/>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3. Draft</w:t>
            </w:r>
          </w:p>
        </w:tc>
        <w:tc>
          <w:tcPr>
            <w:tcW w:type="dxa" w:w="2166"/>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The chosen angle + the channel template</w:t>
            </w:r>
          </w:p>
        </w:tc>
        <w:tc>
          <w:tcPr>
            <w:tcW w:type="dxa" w:w="288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The message (and subject line for email)</w:t>
            </w:r>
          </w:p>
        </w:tc>
        <w:tc>
          <w:tcPr>
            <w:tcW w:type="dxa" w:w="270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Writes in your voice, within the channel’s character limit.</w:t>
            </w:r>
          </w:p>
        </w:tc>
      </w:tr>
    </w:tbl>
    <w:p>
      <w:pPr>
        <w:spacing w:after="80"/>
      </w:pPr>
    </w:p>
    <w:p>
      <w:pPr>
        <w:pStyle w:val="Heading3"/>
      </w:pPr>
      <w:r>
        <w:t xml:space="preserve">“Needs review” is a feature, not a bug</w:t>
      </w:r>
    </w:p>
    <w:p>
      <w:pPr>
        <w:spacing w:after="120" w:line="290"/>
      </w:pPr>
      <w:r>
        <w:t xml:space="preserve">If stage 2 cannot find a fact that supports a relevant angle, the row is marked </w:t>
      </w:r>
      <w:r>
        <w:rPr>
          <w:b/>
          <w:bCs/>
        </w:rPr>
        <w:t xml:space="preserve">Needs review</w:t>
      </w:r>
      <w:r>
        <w:t xml:space="preserve"> (internally </w:t>
      </w:r>
      <w:r>
        <w:rPr>
          <w:rFonts w:ascii="Consolas" w:cs="Consolas" w:eastAsia="Consolas" w:hAnsi="Consolas"/>
          <w:sz w:val="19"/>
          <w:szCs w:val="19"/>
          <w:shd w:fill="F3F4F7" w:color="auto" w:val="clear"/>
        </w:rPr>
        <w:t xml:space="preserve">thin_context</w:t>
      </w:r>
      <w:r>
        <w:t xml:space="preserve">) and no message is shipped. This is deliberate: it is better to write that person by hand than to send an invented compliment to a real prospect. </w:t>
      </w:r>
      <w:r>
        <w:rPr>
          <w:b/>
          <w:bCs/>
        </w:rPr>
        <w:t xml:space="preserve">Do not “fix” this by loosening the check</w:t>
      </w:r>
      <w:r>
        <w:t xml:space="preserve">; improve the research or the “What we sell” text instead.</w:t>
      </w:r>
    </w:p>
    <w:p>
      <w:pPr>
        <w:pStyle w:val="Heading3"/>
      </w:pPr>
      <w:r>
        <w:t xml:space="preserve">Character limits</w:t>
      </w:r>
    </w:p>
    <w:p>
      <w:pPr>
        <w:spacing w:after="120" w:line="290"/>
      </w:pPr>
      <w:r>
        <w:t xml:space="preserve">Each template can set a maximum length. A draft that is too long gets one automatic rewrite; if it is still too long, the row carries a warning.</w:t>
      </w:r>
    </w:p>
    <w:p>
      <w:pPr>
        <w:pStyle w:val="Heading2"/>
      </w:pPr>
      <w:r>
        <w:t xml:space="preserve">2.3 Jobs, retries and pauses</w:t>
      </w:r>
    </w:p>
    <w:p>
      <w:pPr>
        <w:pStyle w:val="ListParagraph"/>
        <w:numPr>
          <w:ilvl w:val="0"/>
          <w:numId w:val="2"/>
        </w:numPr>
        <w:spacing w:after="80" w:line="280"/>
      </w:pPr>
      <w:r>
        <w:t xml:space="preserve">A </w:t>
      </w:r>
      <w:r>
        <w:rPr>
          <w:b/>
          <w:bCs/>
        </w:rPr>
        <w:t xml:space="preserve">job</w:t>
      </w:r>
      <w:r>
        <w:t xml:space="preserve"> is one phase (Research or Personalize) run over some rows of one upload.</w:t>
      </w:r>
    </w:p>
    <w:p>
      <w:pPr>
        <w:pStyle w:val="ListParagraph"/>
        <w:numPr>
          <w:ilvl w:val="0"/>
          <w:numId w:val="2"/>
        </w:numPr>
        <w:spacing w:after="80" w:line="280"/>
      </w:pPr>
      <w:r>
        <w:t xml:space="preserve">By default a job only picks rows that do not have a result yet. Tick </w:t>
      </w:r>
      <w:r>
        <w:rPr>
          <w:b/>
          <w:bCs/>
        </w:rPr>
        <w:t xml:space="preserve">Redo rows that already have a result</w:t>
      </w:r>
      <w:r>
        <w:t xml:space="preserve"> to run them again (personalization is billed again).</w:t>
      </w:r>
    </w:p>
    <w:p>
      <w:pPr>
        <w:pStyle w:val="ListParagraph"/>
        <w:numPr>
          <w:ilvl w:val="0"/>
          <w:numId w:val="2"/>
        </w:numPr>
        <w:spacing w:after="80" w:line="280"/>
      </w:pPr>
      <w:r>
        <w:t xml:space="preserve">If Claude cannot be reached, or a subscription usage limit is hit, the job is </w:t>
      </w:r>
      <w:r>
        <w:rPr>
          <w:b/>
          <w:bCs/>
        </w:rPr>
        <w:t xml:space="preserve">Paused</w:t>
      </w:r>
      <w:r>
        <w:t xml:space="preserve">. Rows already finished keep their results. </w:t>
      </w:r>
      <w:r>
        <w:rPr>
          <w:b/>
          <w:bCs/>
        </w:rPr>
        <w:t xml:space="preserve">Resume</w:t>
      </w:r>
      <w:r>
        <w:t xml:space="preserve"> picks up only the rows that never ran.</w:t>
      </w:r>
    </w:p>
    <w:p>
      <w:pPr>
        <w:pStyle w:val="ListParagraph"/>
        <w:numPr>
          <w:ilvl w:val="0"/>
          <w:numId w:val="2"/>
        </w:numPr>
        <w:spacing w:after="80" w:line="280"/>
      </w:pPr>
      <w:r>
        <w:rPr>
          <w:b/>
          <w:bCs/>
        </w:rPr>
        <w:t xml:space="preserve">Temporary errors</w:t>
      </w:r>
      <w:r>
        <w:t xml:space="preserve"> (rate limits, network blips) are retried automatically, up to 3 attempts per row. </w:t>
      </w:r>
      <w:r>
        <w:rPr>
          <w:b/>
          <w:bCs/>
        </w:rPr>
        <w:t xml:space="preserve">Permanent errors</w:t>
      </w:r>
      <w:r>
        <w:t xml:space="preserve"> (for example a missing key, or a website returning 404) go straight to Failed, with the reason shown.</w:t>
      </w:r>
    </w:p>
    <w:p>
      <w:pPr>
        <w:pStyle w:val="ListParagraph"/>
        <w:numPr>
          <w:ilvl w:val="0"/>
          <w:numId w:val="2"/>
        </w:numPr>
        <w:spacing w:after="80" w:line="280"/>
      </w:pPr>
      <w:r>
        <w:t xml:space="preserve">Any single row can be retried from the job page with </w:t>
      </w:r>
      <w:r>
        <w:rPr>
          <w:b/>
          <w:bCs/>
        </w:rPr>
        <w:t xml:space="preserve">Retry</w:t>
      </w:r>
      <w:r>
        <w:t xml:space="preserve"> or </w:t>
      </w:r>
      <w:r>
        <w:rPr>
          <w:b/>
          <w:bCs/>
        </w:rPr>
        <w:t xml:space="preserve">Redo</w:t>
      </w:r>
      <w:r>
        <w:t xml:space="preserve">.</w:t>
      </w:r>
    </w:p>
    <w:p>
      <w:pPr>
        <w:pStyle w:val="Heading2"/>
      </w:pPr>
      <w:r>
        <w:t xml:space="preserve">2.4 Prompt caching (why the prompt text matters)</w:t>
      </w:r>
    </w:p>
    <w:p>
      <w:pPr>
        <w:spacing w:after="120" w:line="290"/>
      </w:pPr>
      <w:r>
        <w:t xml:space="preserve">Claude charges less for the parts of a prompt that are identical across calls. The app keeps each stage’s prompt the same for every row, and sends per-person details separately. If a prompt contains a per-person placeholder such as </w:t>
      </w:r>
      <w:r>
        <w:rPr>
          <w:rFonts w:ascii="Consolas" w:cs="Consolas" w:eastAsia="Consolas" w:hAnsi="Consolas"/>
          <w:sz w:val="19"/>
          <w:szCs w:val="19"/>
          <w:shd w:fill="F3F4F7" w:color="auto" w:val="clear"/>
        </w:rPr>
        <w:t xml:space="preserve">{{identity.first_name}}</w:t>
      </w:r>
      <w:r>
        <w:t xml:space="preserve">, the prompt changes on every row, caching stops, and every call pays full price. The Prompts page warns you when this happens.</w:t>
      </w:r>
    </w:p>
    <w:p>
      <w:pPr>
        <w:pStyle w:val="Heading1"/>
        <w:pageBreakBefore/>
      </w:pPr>
      <w:r>
        <w:t xml:space="preserve">3. Using the app</w:t>
      </w:r>
    </w:p>
    <w:p>
      <w:pPr>
        <w:pStyle w:val="Heading2"/>
      </w:pPr>
      <w:r>
        <w:t xml:space="preserve">3.1 Getting in</w:t>
      </w:r>
    </w:p>
    <w:p>
      <w:pPr>
        <w:pStyle w:val="ListParagraph"/>
        <w:numPr>
          <w:ilvl w:val="0"/>
          <w:numId w:val="2"/>
        </w:numPr>
        <w:spacing w:after="80" w:line="280"/>
      </w:pPr>
      <w:r>
        <w:t xml:space="preserve">Open the link you were given and sign in with your email and password.</w:t>
      </w:r>
    </w:p>
    <w:p>
      <w:pPr>
        <w:pStyle w:val="ListParagraph"/>
        <w:numPr>
          <w:ilvl w:val="0"/>
          <w:numId w:val="2"/>
        </w:numPr>
        <w:spacing w:after="80" w:line="280"/>
      </w:pPr>
      <w:r>
        <w:t xml:space="preserve">After </w:t>
      </w:r>
      <w:r>
        <w:rPr>
          <w:b/>
          <w:bCs/>
        </w:rPr>
        <w:t xml:space="preserve">10 wrong passwords within 15 minutes</w:t>
      </w:r>
      <w:r>
        <w:t xml:space="preserve">, the account is locked for 15 minutes. This protects against password guessing on the public test link.</w:t>
      </w:r>
    </w:p>
    <w:p>
      <w:pPr>
        <w:pStyle w:val="ListParagraph"/>
        <w:numPr>
          <w:ilvl w:val="0"/>
          <w:numId w:val="2"/>
        </w:numPr>
        <w:spacing w:after="80" w:line="280"/>
      </w:pPr>
      <w:r>
        <w:t xml:space="preserve">The theme switch (sun/moon icon) and sign-out are at the bottom of the left sidebar. The dot above them shows whether Claude is connected: green means connected, amber means not connected, red means misconfigured.</w:t>
      </w:r>
    </w:p>
    <w:p>
      <w:pPr>
        <w:pStyle w:val="Heading2"/>
      </w:pPr>
      <w:r>
        <w:t xml:space="preserve">3.2 The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Page</w:t>
            </w:r>
          </w:p>
        </w:tc>
        <w:tc>
          <w:tcPr>
            <w:tcW w:type="dxa" w:w="7040"/>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What it is for</w:t>
            </w:r>
          </w:p>
        </w:tc>
      </w:tr>
      <w:tr>
        <w:tc>
          <w:tcPr>
            <w:tcW w:type="dxa" w:w="1986"/>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Overview</w:t>
            </w:r>
          </w:p>
        </w:tc>
        <w:tc>
          <w:tcPr>
            <w:tcW w:type="dxa" w:w="7040"/>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Start here. A setup checklist while anything is missing, jobs running now, and every upload that still has a step to do.</w:t>
            </w:r>
          </w:p>
        </w:tc>
      </w:tr>
      <w:tr>
        <w:tc>
          <w:tcPr>
            <w:tcW w:type="dxa" w:w="1986"/>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Uploads</w:t>
            </w:r>
          </w:p>
        </w:tc>
        <w:tc>
          <w:tcPr>
            <w:tcW w:type="dxa" w:w="7040"/>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All prospect lists with their research and message progress, and a button for each one’s next step.</w:t>
            </w:r>
          </w:p>
        </w:tc>
      </w:tr>
      <w:tr>
        <w:tc>
          <w:tcPr>
            <w:tcW w:type="dxa" w:w="1986"/>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Upload page</w:t>
            </w:r>
          </w:p>
        </w:tc>
        <w:tc>
          <w:tcPr>
            <w:tcW w:type="dxa" w:w="7040"/>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The hub for one list: the four steps, the next step already selected, downloads, run history and spend, and the column mapping.</w:t>
            </w:r>
          </w:p>
        </w:tc>
      </w:tr>
      <w:tr>
        <w:tc>
          <w:tcPr>
            <w:tcW w:type="dxa" w:w="1986"/>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Jobs</w:t>
            </w:r>
          </w:p>
        </w:tc>
        <w:tc>
          <w:tcPr>
            <w:tcW w:type="dxa" w:w="7040"/>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Every run across all uploads, with filters for Running and Needs attention. Cancel and Resume live here.</w:t>
            </w:r>
          </w:p>
        </w:tc>
      </w:tr>
      <w:tr>
        <w:tc>
          <w:tcPr>
            <w:tcW w:type="dxa" w:w="1986"/>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Job page</w:t>
            </w:r>
          </w:p>
        </w:tc>
        <w:tc>
          <w:tcPr>
            <w:tcW w:type="dxa" w:w="7040"/>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Progress, cost and time for one run, every row with its status and message, and filters. What to do next when it finishes.</w:t>
            </w:r>
          </w:p>
        </w:tc>
      </w:tr>
      <w:tr>
        <w:tc>
          <w:tcPr>
            <w:tcW w:type="dxa" w:w="1986"/>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Prompts</w:t>
            </w:r>
          </w:p>
        </w:tc>
        <w:tc>
          <w:tcPr>
            <w:tcW w:type="dxa" w:w="7040"/>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The three stage prompts. Edit, try on a real row before saving, and switch between versions.</w:t>
            </w:r>
          </w:p>
        </w:tc>
      </w:tr>
      <w:tr>
        <w:tc>
          <w:tcPr>
            <w:tcW w:type="dxa" w:w="1986"/>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Templates</w:t>
            </w:r>
          </w:p>
        </w:tc>
        <w:tc>
          <w:tcPr>
            <w:tcW w:type="dxa" w:w="7040"/>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One message template per channel (Email, LinkedIn, WhatsApp), versioned.</w:t>
            </w:r>
          </w:p>
        </w:tc>
      </w:tr>
      <w:tr>
        <w:tc>
          <w:tcPr>
            <w:tcW w:type="dxa" w:w="1986"/>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Settings</w:t>
            </w:r>
          </w:p>
        </w:tc>
        <w:tc>
          <w:tcPr>
            <w:tcW w:type="dxa" w:w="7040"/>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The Claude connection, “What we sell”, research defaults and provider keys.</w:t>
            </w:r>
          </w:p>
        </w:tc>
      </w:tr>
    </w:tbl>
    <w:p>
      <w:pPr>
        <w:spacing w:after="80"/>
      </w:pPr>
    </w:p>
    <w:p>
      <w:pPr>
        <w:pStyle w:val="Heading2"/>
      </w:pPr>
      <w:r>
        <w:t xml:space="preserve">3.3 Your first run, step by step</w:t>
      </w:r>
    </w:p>
    <w:p>
      <w:pPr>
        <w:pStyle w:val="ListParagraph"/>
        <w:numPr>
          <w:ilvl w:val="0"/>
          <w:numId w:val="3"/>
        </w:numPr>
        <w:spacing w:after="90" w:line="280"/>
      </w:pPr>
      <w:r>
        <w:rPr>
          <w:b/>
          <w:bCs/>
        </w:rPr>
        <w:t xml:space="preserve">Check the Overview checklist.</w:t>
      </w:r>
      <w:r>
        <w:t xml:space="preserve"> Personalization needs Claude connected, “What we sell” filled in, and a template for the channel. Research only needs sources enabled.</w:t>
      </w:r>
    </w:p>
    <w:p>
      <w:pPr>
        <w:pStyle w:val="ListParagraph"/>
        <w:numPr>
          <w:ilvl w:val="0"/>
          <w:numId w:val="3"/>
        </w:numPr>
        <w:spacing w:after="90" w:line="280"/>
      </w:pPr>
      <w:r>
        <w:rPr>
          <w:b/>
          <w:bCs/>
        </w:rPr>
        <w:t xml:space="preserve">Import a list.</w:t>
      </w:r>
      <w:r>
        <w:t xml:space="preserve"> Uploads → New upload. Drop a CSV or paste a Google Sheet link (shared as “Anyone with the link”).</w:t>
      </w:r>
    </w:p>
    <w:p>
      <w:pPr>
        <w:pStyle w:val="ListParagraph"/>
        <w:numPr>
          <w:ilvl w:val="0"/>
          <w:numId w:val="3"/>
        </w:numPr>
        <w:spacing w:after="90" w:line="280"/>
      </w:pPr>
      <w:r>
        <w:rPr>
          <w:b/>
          <w:bCs/>
        </w:rPr>
        <w:t xml:space="preserve">Match the columns.</w:t>
      </w:r>
      <w:r>
        <w:t xml:space="preserve"> The app guesses from the headers; check each one against the sample value shown underneath. You need at least a name or company, and at least a website or LinkedIn URL. The matching is remembered for the next sheet with the same headers.</w:t>
      </w:r>
    </w:p>
    <w:p>
      <w:pPr>
        <w:pStyle w:val="ListParagraph"/>
        <w:numPr>
          <w:ilvl w:val="0"/>
          <w:numId w:val="3"/>
        </w:numPr>
        <w:spacing w:after="90" w:line="280"/>
      </w:pPr>
      <w:r>
        <w:rPr>
          <w:b/>
          <w:bCs/>
        </w:rPr>
        <w:t xml:space="preserve">Research a trial.</w:t>
      </w:r>
      <w:r>
        <w:t xml:space="preserve"> You land on the upload’s page with Research selected. Keep </w:t>
      </w:r>
      <w:r>
        <w:rPr>
          <w:b/>
          <w:bCs/>
        </w:rPr>
        <w:t xml:space="preserve">Trial · 3</w:t>
      </w:r>
      <w:r>
        <w:t xml:space="preserve"> and press Start research.</w:t>
      </w:r>
    </w:p>
    <w:p>
      <w:pPr>
        <w:pStyle w:val="ListParagraph"/>
        <w:numPr>
          <w:ilvl w:val="0"/>
          <w:numId w:val="3"/>
        </w:numPr>
        <w:spacing w:after="90" w:line="280"/>
      </w:pPr>
      <w:r>
        <w:rPr>
          <w:b/>
          <w:bCs/>
        </w:rPr>
        <w:t xml:space="preserve">Check the research.</w:t>
      </w:r>
      <w:r>
        <w:t xml:space="preserve"> The job page shows which sources found something for each row (green) or failed (red).</w:t>
      </w:r>
    </w:p>
    <w:p>
      <w:pPr>
        <w:pStyle w:val="ListParagraph"/>
        <w:numPr>
          <w:ilvl w:val="0"/>
          <w:numId w:val="3"/>
        </w:numPr>
        <w:spacing w:after="90" w:line="280"/>
      </w:pPr>
      <w:r>
        <w:rPr>
          <w:b/>
          <w:bCs/>
        </w:rPr>
        <w:t xml:space="preserve">Personalize the same rows.</w:t>
      </w:r>
      <w:r>
        <w:t xml:space="preserve"> Press Personalize on the finished job, pick the channel, keep Trial · 3, and start.</w:t>
      </w:r>
    </w:p>
    <w:p>
      <w:pPr>
        <w:pStyle w:val="ListParagraph"/>
        <w:numPr>
          <w:ilvl w:val="0"/>
          <w:numId w:val="3"/>
        </w:numPr>
        <w:spacing w:after="90" w:line="280"/>
      </w:pPr>
      <w:r>
        <w:rPr>
          <w:b/>
          <w:bCs/>
        </w:rPr>
        <w:t xml:space="preserve">Read the messages.</w:t>
      </w:r>
      <w:r>
        <w:t xml:space="preserve"> Open each one with “Show full message &amp; evidence” to see the angle and the fact it cites.</w:t>
      </w:r>
    </w:p>
    <w:p>
      <w:pPr>
        <w:pStyle w:val="ListParagraph"/>
        <w:numPr>
          <w:ilvl w:val="0"/>
          <w:numId w:val="3"/>
        </w:numPr>
        <w:spacing w:after="90" w:line="280"/>
      </w:pPr>
      <w:r>
        <w:rPr>
          <w:b/>
          <w:bCs/>
        </w:rPr>
        <w:t xml:space="preserve">Adjust if needed.</w:t>
      </w:r>
      <w:r>
        <w:t xml:space="preserve"> Change a prompt or the template, try it on a real row from the Prompts page, save, then redo the trial rows.</w:t>
      </w:r>
    </w:p>
    <w:p>
      <w:pPr>
        <w:pStyle w:val="ListParagraph"/>
        <w:numPr>
          <w:ilvl w:val="0"/>
          <w:numId w:val="3"/>
        </w:numPr>
        <w:spacing w:after="90" w:line="280"/>
      </w:pPr>
      <w:r>
        <w:rPr>
          <w:b/>
          <w:bCs/>
        </w:rPr>
        <w:t xml:space="preserve">Run the rest.</w:t>
      </w:r>
      <w:r>
        <w:t xml:space="preserve"> Back on the upload page, choose </w:t>
      </w:r>
      <w:r>
        <w:rPr>
          <w:b/>
          <w:bCs/>
        </w:rPr>
        <w:t xml:space="preserve">All</w:t>
      </w:r>
      <w:r>
        <w:t xml:space="preserve"> for Research, then for Personalize.</w:t>
      </w:r>
    </w:p>
    <w:p>
      <w:pPr>
        <w:pStyle w:val="ListParagraph"/>
        <w:numPr>
          <w:ilvl w:val="0"/>
          <w:numId w:val="3"/>
        </w:numPr>
        <w:spacing w:after="90" w:line="280"/>
      </w:pPr>
      <w:r>
        <w:rPr>
          <w:b/>
          <w:bCs/>
        </w:rPr>
        <w:t xml:space="preserve">Download.</w:t>
      </w:r>
      <w:r>
        <w:t xml:space="preserve"> On the upload page, choose Messages, Research or Everything.</w:t>
      </w:r>
    </w:p>
    <w:p>
      <w:pPr>
        <w:pStyle w:val="Heading2"/>
      </w:pPr>
      <w:r>
        <w:t xml:space="preserve">3.4 Row and job statuses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3971"/>
        <w:gridCol w:w="3430"/>
      </w:tblGrid>
      <w:tr>
        <w:trPr>
          <w:tblHeader/>
        </w:trPr>
        <w:tc>
          <w:tcPr>
            <w:tcW w:type="dxa" w:w="1625"/>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Status</w:t>
            </w:r>
          </w:p>
        </w:tc>
        <w:tc>
          <w:tcPr>
            <w:tcW w:type="dxa" w:w="3971"/>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Meaning</w:t>
            </w:r>
          </w:p>
        </w:tc>
        <w:tc>
          <w:tcPr>
            <w:tcW w:type="dxa" w:w="3430"/>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What to do</w:t>
            </w:r>
          </w:p>
        </w:tc>
      </w:tr>
      <w:tr>
        <w:tc>
          <w:tcPr>
            <w:tcW w:type="dxa" w:w="1625"/>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Not run</w:t>
            </w:r>
          </w:p>
        </w:tc>
        <w:tc>
          <w:tcPr>
            <w:tcW w:type="dxa" w:w="3971"/>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The row has not been part of any job for this phase yet.</w:t>
            </w:r>
          </w:p>
        </w:tc>
        <w:tc>
          <w:tcPr>
            <w:tcW w:type="dxa" w:w="3430"/>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Include it in the next job.</w:t>
            </w:r>
          </w:p>
        </w:tc>
      </w:tr>
      <w:tr>
        <w:tc>
          <w:tcPr>
            <w:tcW w:type="dxa" w:w="1625"/>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Queued / Running</w:t>
            </w:r>
          </w:p>
        </w:tc>
        <w:tc>
          <w:tcPr>
            <w:tcW w:type="dxa" w:w="3971"/>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Waiting for its turn, or being processed now.</w:t>
            </w:r>
          </w:p>
        </w:tc>
        <w:tc>
          <w:tcPr>
            <w:tcW w:type="dxa" w:w="3430"/>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Wait. The pages refresh on their own.</w:t>
            </w:r>
          </w:p>
        </w:tc>
      </w:tr>
      <w:tr>
        <w:tc>
          <w:tcPr>
            <w:tcW w:type="dxa" w:w="1625"/>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Done</w:t>
            </w:r>
          </w:p>
        </w:tc>
        <w:tc>
          <w:tcPr>
            <w:tcW w:type="dxa" w:w="3971"/>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Finished successfully.</w:t>
            </w:r>
          </w:p>
        </w:tc>
        <w:tc>
          <w:tcPr>
            <w:tcW w:type="dxa" w:w="3430"/>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w:t>
            </w:r>
          </w:p>
        </w:tc>
      </w:tr>
      <w:tr>
        <w:tc>
          <w:tcPr>
            <w:tcW w:type="dxa" w:w="1625"/>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Skipped</w:t>
            </w:r>
          </w:p>
        </w:tc>
        <w:tc>
          <w:tcPr>
            <w:tcW w:type="dxa" w:w="3971"/>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The row lacked the input (for example, no website).</w:t>
            </w:r>
          </w:p>
        </w:tc>
        <w:tc>
          <w:tcPr>
            <w:tcW w:type="dxa" w:w="3430"/>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Add the data to the sheet if the row matters.</w:t>
            </w:r>
          </w:p>
        </w:tc>
      </w:tr>
      <w:tr>
        <w:tc>
          <w:tcPr>
            <w:tcW w:type="dxa" w:w="1625"/>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Failed</w:t>
            </w:r>
          </w:p>
        </w:tc>
        <w:tc>
          <w:tcPr>
            <w:tcW w:type="dxa" w:w="3971"/>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Something went wrong. The reason is shown under the status.</w:t>
            </w:r>
          </w:p>
        </w:tc>
        <w:tc>
          <w:tcPr>
            <w:tcW w:type="dxa" w:w="3430"/>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Retry the row, or fix the cause (often a missing key).</w:t>
            </w:r>
          </w:p>
        </w:tc>
      </w:tr>
      <w:tr>
        <w:tc>
          <w:tcPr>
            <w:tcW w:type="dxa" w:w="1625"/>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Needs review</w:t>
            </w:r>
          </w:p>
        </w:tc>
        <w:tc>
          <w:tcPr>
            <w:tcW w:type="dxa" w:w="3971"/>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Not enough solid research to personalize honestly.</w:t>
            </w:r>
          </w:p>
        </w:tc>
        <w:tc>
          <w:tcPr>
            <w:tcW w:type="dxa" w:w="3430"/>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Write this one by hand, or improve the research.</w:t>
            </w:r>
          </w:p>
        </w:tc>
      </w:tr>
      <w:tr>
        <w:tc>
          <w:tcPr>
            <w:tcW w:type="dxa" w:w="1625"/>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Paused (job)</w:t>
            </w:r>
          </w:p>
        </w:tc>
        <w:tc>
          <w:tcPr>
            <w:tcW w:type="dxa" w:w="3971"/>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Claude unreachable or a usage limit was hit.</w:t>
            </w:r>
          </w:p>
        </w:tc>
        <w:tc>
          <w:tcPr>
            <w:tcW w:type="dxa" w:w="3430"/>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Fix the connection or wait for the limit to reset, then Resume.</w:t>
            </w:r>
          </w:p>
        </w:tc>
      </w:tr>
      <w:tr>
        <w:tc>
          <w:tcPr>
            <w:tcW w:type="dxa" w:w="1625"/>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Cancelled (job)</w:t>
            </w:r>
          </w:p>
        </w:tc>
        <w:tc>
          <w:tcPr>
            <w:tcW w:type="dxa" w:w="3971"/>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Stopped by someone. Finished rows keep their results.</w:t>
            </w:r>
          </w:p>
        </w:tc>
        <w:tc>
          <w:tcPr>
            <w:tcW w:type="dxa" w:w="3430"/>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Resume to continue.</w:t>
            </w:r>
          </w:p>
        </w:tc>
      </w:tr>
    </w:tbl>
    <w:p>
      <w:pPr>
        <w:spacing w:after="80"/>
      </w:pPr>
    </w:p>
    <w:p>
      <w:pPr>
        <w:pStyle w:val="Heading2"/>
      </w:pPr>
      <w:r>
        <w:t xml:space="preserve">3.5 Downloads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Download</w:t>
            </w:r>
          </w:p>
        </w:tc>
        <w:tc>
          <w:tcPr>
            <w:tcW w:type="dxa" w:w="7040"/>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Contains</w:t>
            </w:r>
          </w:p>
        </w:tc>
      </w:tr>
      <w:tr>
        <w:tc>
          <w:tcPr>
            <w:tcW w:type="dxa" w:w="1986"/>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Messages</w:t>
            </w:r>
          </w:p>
        </w:tc>
        <w:tc>
          <w:tcPr>
            <w:tcW w:type="dxa" w:w="7040"/>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Your columns + subject, message, angle and evidence.</w:t>
            </w:r>
          </w:p>
        </w:tc>
      </w:tr>
      <w:tr>
        <w:tc>
          <w:tcPr>
            <w:tcW w:type="dxa" w:w="1986"/>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Research</w:t>
            </w:r>
          </w:p>
        </w:tc>
        <w:tc>
          <w:tcPr>
            <w:tcW w:type="dxa" w:w="7040"/>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Your columns + what each source found, plus any research errors.</w:t>
            </w:r>
          </w:p>
        </w:tc>
      </w:tr>
      <w:tr>
        <w:tc>
          <w:tcPr>
            <w:tcW w:type="dxa" w:w="1986"/>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Everything</w:t>
            </w:r>
          </w:p>
        </w:tc>
        <w:tc>
          <w:tcPr>
            <w:tcW w:type="dxa" w:w="7040"/>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Research and messages side by side.</w:t>
            </w:r>
          </w:p>
        </w:tc>
      </w:tr>
    </w:tbl>
    <w:p>
      <w:pPr>
        <w:pStyle w:val="Heading1"/>
        <w:pageBreakBefore/>
      </w:pPr>
      <w:r>
        <w:t xml:space="preserve">4. Configuration</w:t>
      </w:r>
    </w:p>
    <w:p>
      <w:pPr>
        <w:spacing w:after="120" w:line="290"/>
      </w:pPr>
      <w:r>
        <w:t xml:space="preserve">Everything below is set in the app’s </w:t>
      </w:r>
      <w:r>
        <w:rPr>
          <w:b/>
          <w:bCs/>
        </w:rPr>
        <w:t xml:space="preserve">Settings</w:t>
      </w:r>
      <w:r>
        <w:t xml:space="preserve"> page and stored in the database; provider keys are stored encrypted. Changes to the Claude connection take effect immediately; the other sections are saved with the bar that appears at the bottom when something has changed.</w:t>
      </w:r>
    </w:p>
    <w:p>
      <w:pPr>
        <w:pStyle w:val="Heading2"/>
      </w:pPr>
      <w:r>
        <w:t xml:space="preserve">4.1 Claude connection</w:t>
      </w:r>
    </w:p>
    <w:p>
      <w:pPr>
        <w:spacing w:after="120" w:line="290"/>
      </w:pPr>
      <w:r>
        <w:t xml:space="preserve">Only one method is live at a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430"/>
        <w:gridCol w:w="3610"/>
      </w:tblGrid>
      <w:tr>
        <w:trPr>
          <w:tblHeader/>
        </w:trPr>
        <w:tc>
          <w:tcPr>
            <w:tcW w:type="dxa" w:w="1986"/>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Method</w:t>
            </w:r>
          </w:p>
        </w:tc>
        <w:tc>
          <w:tcPr>
            <w:tcW w:type="dxa" w:w="3430"/>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How it is paid</w:t>
            </w:r>
          </w:p>
        </w:tc>
        <w:tc>
          <w:tcPr>
            <w:tcW w:type="dxa" w:w="3610"/>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How to connect</w:t>
            </w:r>
          </w:p>
        </w:tc>
      </w:tr>
      <w:tr>
        <w:tc>
          <w:tcPr>
            <w:tcW w:type="dxa" w:w="1986"/>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Claude subscription (current)</w:t>
            </w:r>
          </w:p>
        </w:tc>
        <w:tc>
          <w:tcPr>
            <w:tcW w:type="dxa" w:w="3430"/>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Your Claude Pro/Max/Team plan. No API credits; counts against the plan’s usage limits. When a limit is hit, jobs pause until it resets.</w:t>
            </w:r>
          </w:p>
        </w:tc>
        <w:tc>
          <w:tcPr>
            <w:tcW w:type="dxa" w:w="3610"/>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In a terminal in the project folder:</w:t>
            </w:r>
          </w:p>
          <w:p>
            <w:pPr>
              <w:spacing w:after="30" w:line="260"/>
            </w:pPr>
            <w:r>
              <w:rPr>
                <w:rFonts w:ascii="Consolas" w:cs="Consolas" w:eastAsia="Consolas" w:hAnsi="Consolas"/>
                <w:sz w:val="19"/>
                <w:szCs w:val="19"/>
                <w:shd w:fill="F3F4F7" w:color="auto" w:val="clear"/>
              </w:rPr>
              <w:t xml:space="preserve">docker compose exec -it worker claude auth login</w:t>
            </w:r>
          </w:p>
          <w:p>
            <w:pPr>
              <w:spacing w:after="30" w:line="260"/>
            </w:pPr>
            <w:r>
              <w:rPr>
                <w:sz w:val="19"/>
                <w:szCs w:val="19"/>
              </w:rPr>
              <w:t xml:space="preserve">then press “Check sign-in” in Settings.</w:t>
            </w:r>
          </w:p>
        </w:tc>
      </w:tr>
      <w:tr>
        <w:tc>
          <w:tcPr>
            <w:tcW w:type="dxa" w:w="1986"/>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Console sign-in</w:t>
            </w:r>
          </w:p>
        </w:tc>
        <w:tc>
          <w:tcPr>
            <w:tcW w:type="dxa" w:w="3430"/>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Anthropic API credits on your Console organization.</w:t>
            </w:r>
          </w:p>
        </w:tc>
        <w:tc>
          <w:tcPr>
            <w:tcW w:type="dxa" w:w="3610"/>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Settings → Console sign-in → Connect, then paste the code shown after approving.</w:t>
            </w:r>
          </w:p>
        </w:tc>
      </w:tr>
      <w:tr>
        <w:tc>
          <w:tcPr>
            <w:tcW w:type="dxa" w:w="1986"/>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API key</w:t>
            </w:r>
          </w:p>
        </w:tc>
        <w:tc>
          <w:tcPr>
            <w:tcW w:type="dxa" w:w="3430"/>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Anthropic API credits on the key’s organization.</w:t>
            </w:r>
          </w:p>
        </w:tc>
        <w:tc>
          <w:tcPr>
            <w:tcW w:type="dxa" w:w="3610"/>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Settings → API key → paste → Save &amp; use. Stored encrypted.</w:t>
            </w:r>
          </w:p>
        </w:tc>
      </w:tr>
    </w:tbl>
    <w:p>
      <w:pPr>
        <w:spacing w:after="80"/>
      </w:pPr>
    </w:p>
    <w:p>
      <w:pPr>
        <w:pBdr>
          <w:left w:val="single" w:color="C0392B" w:sz="18" w:space="10"/>
        </w:pBdr>
        <w:spacing w:after="200" w:before="120" w:line="280"/>
        <w:ind w:left="200"/>
      </w:pPr>
      <w:r>
        <w:rPr>
          <w:b/>
          <w:bCs/>
          <w:color w:val="C0392B"/>
        </w:rPr>
        <w:t xml:space="preserve">Important.  </w:t>
      </w:r>
      <w:r>
        <w:t xml:space="preserve">Never put </w:t>
      </w:r>
      <w:r>
        <w:rPr>
          <w:rFonts w:ascii="Consolas" w:cs="Consolas" w:eastAsia="Consolas" w:hAnsi="Consolas"/>
          <w:sz w:val="19"/>
          <w:szCs w:val="19"/>
          <w:shd w:fill="F3F4F7" w:color="auto" w:val="clear"/>
        </w:rPr>
        <w:t xml:space="preserve">ANTHROPIC_API_KEY</w:t>
      </w:r>
      <w:r>
        <w:t xml:space="preserve"> in </w:t>
      </w:r>
      <w:r>
        <w:rPr>
          <w:rFonts w:ascii="Consolas" w:cs="Consolas" w:eastAsia="Consolas" w:hAnsi="Consolas"/>
          <w:sz w:val="19"/>
          <w:szCs w:val="19"/>
          <w:shd w:fill="F3F4F7" w:color="auto" w:val="clear"/>
        </w:rPr>
        <w:t xml:space="preserve">.env</w:t>
      </w:r>
      <w:r>
        <w:t xml:space="preserve"> or docker-compose unless you mean to use API-key mode. It silently overrides the other methods and bills that key’s organization; the worker refuses to start in that state to prevent it.</w:t>
      </w:r>
    </w:p>
    <w:p>
      <w:pPr>
        <w:pBdr>
          <w:left w:val="single" w:color="B7791F" w:sz="18" w:space="10"/>
        </w:pBdr>
        <w:spacing w:after="200" w:before="120" w:line="280"/>
        <w:ind w:left="200"/>
      </w:pPr>
      <w:r>
        <w:rPr>
          <w:b/>
          <w:bCs/>
          <w:color w:val="B7791F"/>
        </w:rPr>
        <w:t xml:space="preserve">Open question.  </w:t>
      </w:r>
      <w:r>
        <w:t xml:space="preserve">Using one person’s Claude subscription for the whole team may conflict with Anthropic’s terms for consumer plans. Settle this before permanent hosting; the alternative is an API key or Console sign-in.</w:t>
      </w:r>
    </w:p>
    <w:p>
      <w:pPr>
        <w:pStyle w:val="Heading3"/>
      </w:pPr>
      <w:r>
        <w:t xml:space="preserve">Model</w:t>
      </w:r>
    </w:p>
    <w:p>
      <w:pPr>
        <w:spacing w:after="120" w:line="290"/>
      </w:pPr>
      <w:r>
        <w:t xml:space="preserve">One model is used for all three stages. Prices are as configured in the app, in US dollars per million tokens (input /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1444"/>
        <w:gridCol w:w="1444"/>
        <w:gridCol w:w="3069"/>
      </w:tblGrid>
      <w:tr>
        <w:trPr>
          <w:tblHeader/>
        </w:trPr>
        <w:tc>
          <w:tcPr>
            <w:tcW w:type="dxa" w:w="3069"/>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Model</w:t>
            </w:r>
          </w:p>
        </w:tc>
        <w:tc>
          <w:tcPr>
            <w:tcW w:type="dxa" w:w="1444"/>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Input</w:t>
            </w:r>
          </w:p>
        </w:tc>
        <w:tc>
          <w:tcPr>
            <w:tcW w:type="dxa" w:w="1444"/>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Output</w:t>
            </w:r>
          </w:p>
        </w:tc>
        <w:tc>
          <w:tcPr>
            <w:tcW w:type="dxa" w:w="3069"/>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Notes</w:t>
            </w:r>
          </w:p>
        </w:tc>
      </w:tr>
      <w:tr>
        <w:tc>
          <w:tcPr>
            <w:tcW w:type="dxa" w:w="3069"/>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Claude Opus 5</w:t>
            </w:r>
          </w:p>
        </w:tc>
        <w:tc>
          <w:tcPr>
            <w:tcW w:type="dxa" w:w="1444"/>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$5</w:t>
            </w:r>
          </w:p>
        </w:tc>
        <w:tc>
          <w:tcPr>
            <w:tcW w:type="dxa" w:w="1444"/>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$25</w:t>
            </w:r>
          </w:p>
        </w:tc>
        <w:tc>
          <w:tcPr>
            <w:tcW w:type="dxa" w:w="3069"/>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Default.</w:t>
            </w:r>
          </w:p>
        </w:tc>
      </w:tr>
      <w:tr>
        <w:tc>
          <w:tcPr>
            <w:tcW w:type="dxa" w:w="3069"/>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Claude Sonnet 5</w:t>
            </w:r>
          </w:p>
        </w:tc>
        <w:tc>
          <w:tcPr>
            <w:tcW w:type="dxa" w:w="1444"/>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$2</w:t>
            </w:r>
          </w:p>
        </w:tc>
        <w:tc>
          <w:tcPr>
            <w:tcW w:type="dxa" w:w="1444"/>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$10</w:t>
            </w:r>
          </w:p>
        </w:tc>
        <w:tc>
          <w:tcPr>
            <w:tcW w:type="dxa" w:w="3069"/>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Cheaper.</w:t>
            </w:r>
          </w:p>
        </w:tc>
      </w:tr>
      <w:tr>
        <w:tc>
          <w:tcPr>
            <w:tcW w:type="dxa" w:w="3069"/>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Claude Haiku 4.5</w:t>
            </w:r>
          </w:p>
        </w:tc>
        <w:tc>
          <w:tcPr>
            <w:tcW w:type="dxa" w:w="1444"/>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$1</w:t>
            </w:r>
          </w:p>
        </w:tc>
        <w:tc>
          <w:tcPr>
            <w:tcW w:type="dxa" w:w="1444"/>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$5</w:t>
            </w:r>
          </w:p>
        </w:tc>
        <w:tc>
          <w:tcPr>
            <w:tcW w:type="dxa" w:w="3069"/>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Cheapest.</w:t>
            </w:r>
          </w:p>
        </w:tc>
      </w:tr>
      <w:tr>
        <w:tc>
          <w:tcPr>
            <w:tcW w:type="dxa" w:w="3069"/>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Claude Fable 5.1</w:t>
            </w:r>
          </w:p>
        </w:tc>
        <w:tc>
          <w:tcPr>
            <w:tcW w:type="dxa" w:w="1444"/>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$10</w:t>
            </w:r>
          </w:p>
        </w:tc>
        <w:tc>
          <w:tcPr>
            <w:tcW w:type="dxa" w:w="1444"/>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$50</w:t>
            </w:r>
          </w:p>
        </w:tc>
        <w:tc>
          <w:tcPr>
            <w:tcW w:type="dxa" w:w="3069"/>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Most capable.</w:t>
            </w:r>
          </w:p>
        </w:tc>
      </w:tr>
    </w:tbl>
    <w:p>
      <w:pPr>
        <w:spacing w:after="80"/>
      </w:pPr>
    </w:p>
    <w:p>
      <w:pPr>
        <w:spacing w:after="120" w:line="290"/>
      </w:pPr>
      <w:r>
        <w:rPr>
          <w:i/>
          <w:iCs/>
          <w:color w:val="5B6270"/>
        </w:rPr>
        <w:t xml:space="preserve">In subscription mode these prices are not charged; usage counts against the plan instead, and the app’s cost figures show $0 or “—”. That is expected, not a tracking fault.</w:t>
      </w:r>
    </w:p>
    <w:p>
      <w:pPr>
        <w:pStyle w:val="Heading2"/>
      </w:pPr>
      <w:r>
        <w:t xml:space="preserve">4.2 What we sell</w:t>
      </w:r>
    </w:p>
    <w:p>
      <w:pPr>
        <w:spacing w:after="120" w:line="290"/>
      </w:pPr>
      <w:r>
        <w:t xml:space="preserve">One or two short paragraphs: who the offer is for, the outcome, and the proof. Stage 2 uses it to judge whether an angle is </w:t>
      </w:r>
      <w:r>
        <w:rPr>
          <w:b/>
          <w:bCs/>
        </w:rPr>
        <w:t xml:space="preserve">relevant</w:t>
      </w:r>
      <w:r>
        <w:t xml:space="preserve">, not merely true. Personalization jobs will not start until it is filled in.</w:t>
      </w:r>
    </w:p>
    <w:p>
      <w:pPr>
        <w:pStyle w:val="Heading2"/>
      </w:pPr>
      <w:r>
        <w:t xml:space="preserve">4.3 Research defaults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625"/>
        <w:gridCol w:w="5235"/>
      </w:tblGrid>
      <w:tr>
        <w:trPr>
          <w:tblHeader/>
        </w:trPr>
        <w:tc>
          <w:tcPr>
            <w:tcW w:type="dxa" w:w="2166"/>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Setting</w:t>
            </w:r>
          </w:p>
        </w:tc>
        <w:tc>
          <w:tcPr>
            <w:tcW w:type="dxa" w:w="1625"/>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Default</w:t>
            </w:r>
          </w:p>
        </w:tc>
        <w:tc>
          <w:tcPr>
            <w:tcW w:type="dxa" w:w="5235"/>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Meaning</w:t>
            </w:r>
          </w:p>
        </w:tc>
      </w:tr>
      <w:tr>
        <w:tc>
          <w:tcPr>
            <w:tcW w:type="dxa" w:w="2166"/>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Enabled sources</w:t>
            </w:r>
          </w:p>
        </w:tc>
        <w:tc>
          <w:tcPr>
            <w:tcW w:type="dxa" w:w="1625"/>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Set in Settings</w:t>
            </w:r>
          </w:p>
        </w:tc>
        <w:tc>
          <w:tcPr>
            <w:tcW w:type="dxa" w:w="5235"/>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Which sources new research jobs use. Each job can still switch sources on or off.</w:t>
            </w:r>
          </w:p>
        </w:tc>
      </w:tr>
      <w:tr>
        <w:tc>
          <w:tcPr>
            <w:tcW w:type="dxa" w:w="2166"/>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LinkedIn provider</w:t>
            </w:r>
          </w:p>
        </w:tc>
        <w:tc>
          <w:tcPr>
            <w:tcW w:type="dxa" w:w="1625"/>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Apify</w:t>
            </w:r>
          </w:p>
        </w:tc>
        <w:tc>
          <w:tcPr>
            <w:tcW w:type="dxa" w:w="5235"/>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The only implemented vendor.</w:t>
            </w:r>
          </w:p>
        </w:tc>
      </w:tr>
      <w:tr>
        <w:tc>
          <w:tcPr>
            <w:tcW w:type="dxa" w:w="2166"/>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Rows in parallel</w:t>
            </w:r>
          </w:p>
        </w:tc>
        <w:tc>
          <w:tcPr>
            <w:tcW w:type="dxa" w:w="1625"/>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4</w:t>
            </w:r>
          </w:p>
        </w:tc>
        <w:tc>
          <w:tcPr>
            <w:tcW w:type="dxa" w:w="5235"/>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How many rows run at once. Higher is faster, and also the rate at which spend accrues and rate limits are hit.</w:t>
            </w:r>
          </w:p>
        </w:tc>
      </w:tr>
    </w:tbl>
    <w:p>
      <w:pPr>
        <w:spacing w:after="80"/>
      </w:pPr>
    </w:p>
    <w:p>
      <w:pPr>
        <w:pStyle w:val="Heading2"/>
      </w:pPr>
      <w:r>
        <w:t xml:space="preserve">4.4 Provider keys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3069"/>
        <w:gridCol w:w="3610"/>
      </w:tblGrid>
      <w:tr>
        <w:trPr>
          <w:tblHeader/>
        </w:trPr>
        <w:tc>
          <w:tcPr>
            <w:tcW w:type="dxa" w:w="2347"/>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Key</w:t>
            </w:r>
          </w:p>
        </w:tc>
        <w:tc>
          <w:tcPr>
            <w:tcW w:type="dxa" w:w="3069"/>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Used for</w:t>
            </w:r>
          </w:p>
        </w:tc>
        <w:tc>
          <w:tcPr>
            <w:tcW w:type="dxa" w:w="3610"/>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Required?</w:t>
            </w:r>
          </w:p>
        </w:tc>
      </w:tr>
      <w:tr>
        <w:tc>
          <w:tcPr>
            <w:tcW w:type="dxa" w:w="2347"/>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Jina Reader</w:t>
            </w:r>
          </w:p>
        </w:tc>
        <w:tc>
          <w:tcPr>
            <w:tcW w:type="dxa" w:w="3069"/>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Company website text</w:t>
            </w:r>
          </w:p>
        </w:tc>
        <w:tc>
          <w:tcPr>
            <w:tcW w:type="dxa" w:w="3610"/>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No. Without a key it works at a lower rate limit.</w:t>
            </w:r>
          </w:p>
        </w:tc>
      </w:tr>
      <w:tr>
        <w:tc>
          <w:tcPr>
            <w:tcW w:type="dxa" w:w="2347"/>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Serper.dev</w:t>
            </w:r>
          </w:p>
        </w:tc>
        <w:tc>
          <w:tcPr>
            <w:tcW w:type="dxa" w:w="3069"/>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Google News</w:t>
            </w:r>
          </w:p>
        </w:tc>
        <w:tc>
          <w:tcPr>
            <w:tcW w:type="dxa" w:w="3610"/>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Yes, for the news source.</w:t>
            </w:r>
          </w:p>
        </w:tc>
      </w:tr>
      <w:tr>
        <w:tc>
          <w:tcPr>
            <w:tcW w:type="dxa" w:w="2347"/>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Apify</w:t>
            </w:r>
          </w:p>
        </w:tc>
        <w:tc>
          <w:tcPr>
            <w:tcW w:type="dxa" w:w="3069"/>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LinkedIn profile and company pages</w:t>
            </w:r>
          </w:p>
        </w:tc>
        <w:tc>
          <w:tcPr>
            <w:tcW w:type="dxa" w:w="3610"/>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Yes, for the LinkedIn sources.</w:t>
            </w:r>
          </w:p>
        </w:tc>
      </w:tr>
      <w:tr>
        <w:tc>
          <w:tcPr>
            <w:tcW w:type="dxa" w:w="2347"/>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Google service account JSON</w:t>
            </w:r>
          </w:p>
        </w:tc>
        <w:tc>
          <w:tcPr>
            <w:tcW w:type="dxa" w:w="3069"/>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Private Google Sheets</w:t>
            </w:r>
          </w:p>
        </w:tc>
        <w:tc>
          <w:tcPr>
            <w:tcW w:type="dxa" w:w="3610"/>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No. Public “anyone with the link” sheets need nothing.</w:t>
            </w:r>
          </w:p>
        </w:tc>
      </w:tr>
    </w:tbl>
    <w:p>
      <w:pPr>
        <w:spacing w:after="80"/>
      </w:pPr>
    </w:p>
    <w:p>
      <w:pPr>
        <w:pBdr>
          <w:left w:val="single" w:color="E8611A" w:sz="18" w:space="10"/>
        </w:pBdr>
        <w:spacing w:after="200" w:before="120" w:line="280"/>
        <w:ind w:left="200"/>
      </w:pPr>
      <w:r>
        <w:rPr>
          <w:b/>
          <w:bCs/>
          <w:color w:val="E8611A"/>
        </w:rPr>
        <w:t xml:space="preserve">Jina key.  </w:t>
      </w:r>
      <w:r>
        <w:t xml:space="preserve">The free trial key has run out and the replacement key has no credit. Leave the Jina field </w:t>
      </w:r>
      <w:r>
        <w:rPr>
          <w:b/>
          <w:bCs/>
        </w:rPr>
        <w:t xml:space="preserve">empty</w:t>
      </w:r>
      <w:r>
        <w:t xml:space="preserve"> unless credit is added: a key without credit makes every website fetch fail, while no key still works at the lower limit. Use </w:t>
      </w:r>
      <w:r>
        <w:rPr>
          <w:b/>
          <w:bCs/>
        </w:rPr>
        <w:t xml:space="preserve">Remove</w:t>
      </w:r>
      <w:r>
        <w:t xml:space="preserve"> next to a key to delete it.</w:t>
      </w:r>
    </w:p>
    <w:p>
      <w:pPr>
        <w:pStyle w:val="Heading2"/>
      </w:pPr>
      <w:r>
        <w:t xml:space="preserve">4.5 Prompts and templates</w:t>
      </w:r>
    </w:p>
    <w:p>
      <w:pPr>
        <w:pStyle w:val="ListParagraph"/>
        <w:numPr>
          <w:ilvl w:val="0"/>
          <w:numId w:val="2"/>
        </w:numPr>
        <w:spacing w:after="80" w:line="280"/>
      </w:pPr>
      <w:r>
        <w:t xml:space="preserve">Saving creates a </w:t>
      </w:r>
      <w:r>
        <w:rPr>
          <w:b/>
          <w:bCs/>
        </w:rPr>
        <w:t xml:space="preserve">new version</w:t>
      </w:r>
      <w:r>
        <w:t xml:space="preserve"> and makes it active. Older versions stay listed and can be made active again.</w:t>
      </w:r>
    </w:p>
    <w:p>
      <w:pPr>
        <w:pStyle w:val="ListParagraph"/>
        <w:numPr>
          <w:ilvl w:val="0"/>
          <w:numId w:val="2"/>
        </w:numPr>
        <w:spacing w:after="80" w:line="280"/>
      </w:pPr>
      <w:r>
        <w:t xml:space="preserve">On the Prompts page, </w:t>
      </w:r>
      <w:r>
        <w:rPr>
          <w:b/>
          <w:bCs/>
        </w:rPr>
        <w:t xml:space="preserve">Try it on a real row</w:t>
      </w:r>
      <w:r>
        <w:t xml:space="preserve"> runs all three stages on the first researched row of an upload, using the prompt on screen, saved or not. It makes three real Claude calls.</w:t>
      </w:r>
    </w:p>
    <w:p>
      <w:pPr>
        <w:pStyle w:val="ListParagraph"/>
        <w:numPr>
          <w:ilvl w:val="0"/>
          <w:numId w:val="2"/>
        </w:numPr>
        <w:spacing w:after="80" w:line="280"/>
      </w:pPr>
      <w:r>
        <w:t xml:space="preserve">Placeholders: </w:t>
      </w:r>
      <w:r>
        <w:rPr>
          <w:rFonts w:ascii="Consolas" w:cs="Consolas" w:eastAsia="Consolas" w:hAnsi="Consolas"/>
          <w:sz w:val="19"/>
          <w:szCs w:val="19"/>
          <w:shd w:fill="F3F4F7" w:color="auto" w:val="clear"/>
        </w:rPr>
        <w:t xml:space="preserve">{{offer_context}}</w:t>
      </w:r>
      <w:r>
        <w:t xml:space="preserve"> (What we sell), </w:t>
      </w:r>
      <w:r>
        <w:rPr>
          <w:rFonts w:ascii="Consolas" w:cs="Consolas" w:eastAsia="Consolas" w:hAnsi="Consolas"/>
          <w:sz w:val="19"/>
          <w:szCs w:val="19"/>
          <w:shd w:fill="F3F4F7" w:color="auto" w:val="clear"/>
        </w:rPr>
        <w:t xml:space="preserve">{{template}}</w:t>
      </w:r>
      <w:r>
        <w:t xml:space="preserve"> and </w:t>
      </w:r>
      <w:r>
        <w:rPr>
          <w:rFonts w:ascii="Consolas" w:cs="Consolas" w:eastAsia="Consolas" w:hAnsi="Consolas"/>
          <w:sz w:val="19"/>
          <w:szCs w:val="19"/>
          <w:shd w:fill="F3F4F7" w:color="auto" w:val="clear"/>
        </w:rPr>
        <w:t xml:space="preserve">{{constraints}}</w:t>
      </w:r>
      <w:r>
        <w:t xml:space="preserve"> (stage 3 only) keep caching intact. Per-person placeholders such as </w:t>
      </w:r>
      <w:r>
        <w:rPr>
          <w:rFonts w:ascii="Consolas" w:cs="Consolas" w:eastAsia="Consolas" w:hAnsi="Consolas"/>
          <w:sz w:val="19"/>
          <w:szCs w:val="19"/>
          <w:shd w:fill="F3F4F7" w:color="auto" w:val="clear"/>
        </w:rPr>
        <w:t xml:space="preserve">{{identity.first_name}}</w:t>
      </w:r>
      <w:r>
        <w:t xml:space="preserve"> or </w:t>
      </w:r>
      <w:r>
        <w:rPr>
          <w:rFonts w:ascii="Consolas" w:cs="Consolas" w:eastAsia="Consolas" w:hAnsi="Consolas"/>
          <w:sz w:val="19"/>
          <w:szCs w:val="19"/>
          <w:shd w:fill="F3F4F7" w:color="auto" w:val="clear"/>
        </w:rPr>
        <w:t xml:space="preserve">{{raw.Any Column}}</w:t>
      </w:r>
      <w:r>
        <w:t xml:space="preserve"> turn caching off for that stage.</w:t>
      </w:r>
    </w:p>
    <w:p>
      <w:pPr>
        <w:pStyle w:val="ListParagraph"/>
        <w:numPr>
          <w:ilvl w:val="0"/>
          <w:numId w:val="2"/>
        </w:numPr>
        <w:spacing w:after="80" w:line="280"/>
      </w:pPr>
      <w:r>
        <w:t xml:space="preserve">In </w:t>
      </w:r>
      <w:r>
        <w:rPr>
          <w:b/>
          <w:bCs/>
        </w:rPr>
        <w:t xml:space="preserve">templates</w:t>
      </w:r>
      <w:r>
        <w:t xml:space="preserve">, leave </w:t>
      </w:r>
      <w:r>
        <w:rPr>
          <w:rFonts w:ascii="Consolas" w:cs="Consolas" w:eastAsia="Consolas" w:hAnsi="Consolas"/>
          <w:sz w:val="19"/>
          <w:szCs w:val="19"/>
          <w:shd w:fill="F3F4F7" w:color="auto" w:val="clear"/>
        </w:rPr>
        <w:t xml:space="preserve">{{identity.first_name}}</w:t>
      </w:r>
      <w:r>
        <w:t xml:space="preserve">-style placeholders as they are. The model fills them for each row.</w:t>
      </w:r>
    </w:p>
    <w:p>
      <w:pPr>
        <w:pStyle w:val="ListParagraph"/>
        <w:numPr>
          <w:ilvl w:val="0"/>
          <w:numId w:val="2"/>
        </w:numPr>
        <w:spacing w:after="80" w:line="280"/>
      </w:pPr>
      <w:r>
        <w:t xml:space="preserve">Email templates always have a subject line (up to 78 characters). LinkedIn connection notes are limited to 300 characters.</w:t>
      </w:r>
    </w:p>
    <w:p>
      <w:pPr>
        <w:pStyle w:val="Heading1"/>
        <w:pageBreakBefore/>
      </w:pPr>
      <w:r>
        <w:t xml:space="preserve">5. Running it</w:t>
      </w:r>
    </w:p>
    <w:p>
      <w:pPr>
        <w:pStyle w:val="Heading2"/>
      </w:pPr>
      <w:r>
        <w:t xml:space="preserve">5.1 What runs where</w:t>
      </w:r>
    </w:p>
    <w:p>
      <w:pPr>
        <w:spacing w:after="120" w:line="290"/>
      </w:pPr>
      <w:r>
        <w:t xml:space="preserve">Everything runs in Docker with five containers: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5055"/>
        <w:gridCol w:w="2527"/>
      </w:tblGrid>
      <w:tr>
        <w:trPr>
          <w:tblHeader/>
        </w:trPr>
        <w:tc>
          <w:tcPr>
            <w:tcW w:type="dxa" w:w="1444"/>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Container</w:t>
            </w:r>
          </w:p>
        </w:tc>
        <w:tc>
          <w:tcPr>
            <w:tcW w:type="dxa" w:w="5055"/>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What it does</w:t>
            </w:r>
          </w:p>
        </w:tc>
        <w:tc>
          <w:tcPr>
            <w:tcW w:type="dxa" w:w="2527"/>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Reachable from</w:t>
            </w:r>
          </w:p>
        </w:tc>
      </w:tr>
      <w:tr>
        <w:tc>
          <w:tcPr>
            <w:tcW w:type="dxa" w:w="1444"/>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frontend</w:t>
            </w:r>
          </w:p>
        </w:tc>
        <w:tc>
          <w:tcPr>
            <w:tcW w:type="dxa" w:w="5055"/>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The web app (Next.js). Also forwards </w:t>
            </w:r>
            <w:r>
              <w:rPr>
                <w:rFonts w:ascii="Consolas" w:cs="Consolas" w:eastAsia="Consolas" w:hAnsi="Consolas"/>
                <w:sz w:val="19"/>
                <w:szCs w:val="19"/>
                <w:shd w:fill="F3F4F7" w:color="auto" w:val="clear"/>
              </w:rPr>
              <w:t xml:space="preserve">/api/v1/*</w:t>
            </w:r>
            <w:r>
              <w:rPr>
                <w:sz w:val="19"/>
                <w:szCs w:val="19"/>
              </w:rPr>
              <w:t xml:space="preserve"> to the API, so the whole app is one address.</w:t>
            </w:r>
          </w:p>
        </w:tc>
        <w:tc>
          <w:tcPr>
            <w:tcW w:type="dxa" w:w="2527"/>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127.0.0.1:3000 on the host only</w:t>
            </w:r>
          </w:p>
        </w:tc>
      </w:tr>
      <w:tr>
        <w:tc>
          <w:tcPr>
            <w:tcW w:type="dxa" w:w="1444"/>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api</w:t>
            </w:r>
          </w:p>
        </w:tc>
        <w:tc>
          <w:tcPr>
            <w:tcW w:type="dxa" w:w="5055"/>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The backend (FastAPI): uploads, jobs, settings, downloads.</w:t>
            </w:r>
          </w:p>
        </w:tc>
        <w:tc>
          <w:tcPr>
            <w:tcW w:type="dxa" w:w="2527"/>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127.0.0.1:8000 on the host only</w:t>
            </w:r>
          </w:p>
        </w:tc>
      </w:tr>
      <w:tr>
        <w:tc>
          <w:tcPr>
            <w:tcW w:type="dxa" w:w="1444"/>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worker</w:t>
            </w:r>
          </w:p>
        </w:tc>
        <w:tc>
          <w:tcPr>
            <w:tcW w:type="dxa" w:w="5055"/>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Runs research and personalization, one task per row (arq). Holds the Claude Code sign-in.</w:t>
            </w:r>
          </w:p>
        </w:tc>
        <w:tc>
          <w:tcPr>
            <w:tcW w:type="dxa" w:w="2527"/>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Nothing (internal)</w:t>
            </w:r>
          </w:p>
        </w:tc>
      </w:tr>
      <w:tr>
        <w:tc>
          <w:tcPr>
            <w:tcW w:type="dxa" w:w="1444"/>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mongo</w:t>
            </w:r>
          </w:p>
        </w:tc>
        <w:tc>
          <w:tcPr>
            <w:tcW w:type="dxa" w:w="5055"/>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The database: uploads, prospects, jobs, prompts, templates, settings, accounts.</w:t>
            </w:r>
          </w:p>
        </w:tc>
        <w:tc>
          <w:tcPr>
            <w:tcW w:type="dxa" w:w="2527"/>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Nothing (internal)</w:t>
            </w:r>
          </w:p>
        </w:tc>
      </w:tr>
      <w:tr>
        <w:tc>
          <w:tcPr>
            <w:tcW w:type="dxa" w:w="1444"/>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redis</w:t>
            </w:r>
          </w:p>
        </w:tc>
        <w:tc>
          <w:tcPr>
            <w:tcW w:type="dxa" w:w="5055"/>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The job queue and the login-attempt counter.</w:t>
            </w:r>
          </w:p>
        </w:tc>
        <w:tc>
          <w:tcPr>
            <w:tcW w:type="dxa" w:w="2527"/>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Nothing (internal)</w:t>
            </w:r>
          </w:p>
        </w:tc>
      </w:tr>
    </w:tbl>
    <w:p>
      <w:pPr>
        <w:spacing w:after="80"/>
      </w:pPr>
    </w:p>
    <w:p>
      <w:pPr>
        <w:spacing w:after="120" w:line="290"/>
      </w:pPr>
      <w:r>
        <w:t xml:space="preserve">Ports are published on </w:t>
      </w:r>
      <w:r>
        <w:rPr>
          <w:rFonts w:ascii="Consolas" w:cs="Consolas" w:eastAsia="Consolas" w:hAnsi="Consolas"/>
          <w:sz w:val="19"/>
          <w:szCs w:val="19"/>
          <w:shd w:fill="F3F4F7" w:color="auto" w:val="clear"/>
        </w:rPr>
        <w:t xml:space="preserve">127.0.0.1</w:t>
      </w:r>
      <w:r>
        <w:t xml:space="preserve"> only. On a Linux server, Docker’s published ports bypass the firewall, so binding to all interfaces would expose the app to the internet.</w:t>
      </w:r>
    </w:p>
    <w:p>
      <w:pPr>
        <w:pStyle w:val="Heading2"/>
      </w:pPr>
      <w:r>
        <w:t xml:space="preserve">5.2 Everyday commands</w:t>
      </w:r>
    </w:p>
    <w:p>
      <w:pPr>
        <w:spacing w:after="120" w:line="290"/>
      </w:pPr>
      <w:r>
        <w:t xml:space="preserve">Run these from the project folder on the machine hosting the app:</w:t>
      </w:r>
    </w:p>
    <w:p>
      <w:pPr>
        <w:pBdr>
          <w:top w:val="single" w:color="D9DCE3" w:sz="4" w:space="4"/>
        </w:pBdr>
        <w:shd w:fill="F3F4F7" w:color="auto" w:val="clear"/>
        <w:spacing w:after="0" w:before="60" w:line="250"/>
        <w:ind w:left="120" w:right="120"/>
      </w:pPr>
      <w:r>
        <w:rPr>
          <w:rFonts w:ascii="Consolas" w:cs="Consolas" w:eastAsia="Consolas" w:hAnsi="Consolas"/>
          <w:color w:val="1F2430"/>
          <w:sz w:val="18"/>
          <w:szCs w:val="18"/>
        </w:rPr>
        <w:t xml:space="preserve">docker compose up -d --build          # start or rebuild everything</w:t>
      </w:r>
    </w:p>
    <w:p>
      <w:pPr>
        <w:shd w:fill="F3F4F7" w:color="auto" w:val="clear"/>
        <w:spacing w:after="0" w:before="0" w:line="250"/>
        <w:ind w:left="120" w:right="120"/>
      </w:pPr>
      <w:r>
        <w:rPr>
          <w:rFonts w:ascii="Consolas" w:cs="Consolas" w:eastAsia="Consolas" w:hAnsi="Consolas"/>
          <w:color w:val="1F2430"/>
          <w:sz w:val="18"/>
          <w:szCs w:val="18"/>
        </w:rPr>
        <w:t xml:space="preserve">docker compose ps                     # what is running</w:t>
      </w:r>
    </w:p>
    <w:p>
      <w:pPr>
        <w:shd w:fill="F3F4F7" w:color="auto" w:val="clear"/>
        <w:spacing w:after="0" w:before="0" w:line="250"/>
        <w:ind w:left="120" w:right="120"/>
      </w:pPr>
      <w:r>
        <w:rPr>
          <w:rFonts w:ascii="Consolas" w:cs="Consolas" w:eastAsia="Consolas" w:hAnsi="Consolas"/>
          <w:color w:val="1F2430"/>
          <w:sz w:val="18"/>
          <w:szCs w:val="18"/>
        </w:rPr>
        <w:t xml:space="preserve">docker compose logs -f worker         # watch jobs being processed</w:t>
      </w:r>
    </w:p>
    <w:p>
      <w:pPr>
        <w:pBdr>
          <w:bottom w:val="single" w:color="D9DCE3" w:sz="4" w:space="4"/>
        </w:pBdr>
        <w:shd w:fill="F3F4F7" w:color="auto" w:val="clear"/>
        <w:spacing w:after="160" w:before="0" w:line="250"/>
        <w:ind w:left="120" w:right="120"/>
      </w:pPr>
      <w:r>
        <w:rPr>
          <w:rFonts w:ascii="Consolas" w:cs="Consolas" w:eastAsia="Consolas" w:hAnsi="Consolas"/>
          <w:color w:val="1F2430"/>
          <w:sz w:val="18"/>
          <w:szCs w:val="18"/>
        </w:rPr>
        <w:t xml:space="preserve">docker compose down                   # stop (data is kept)</w:t>
      </w:r>
    </w:p>
    <w:p>
      <w:pPr>
        <w:pStyle w:val="Heading2"/>
      </w:pPr>
      <w:r>
        <w:t xml:space="preserve">5.3 User accounts</w:t>
      </w:r>
    </w:p>
    <w:p>
      <w:pPr>
        <w:spacing w:after="120" w:line="290"/>
      </w:pPr>
      <w:r>
        <w:t xml:space="preserve">Accounts are created from the command line; there is no sign-up page. The script asks for a password (at least 10 characters). Running it again for an existing email resets that password.</w:t>
      </w:r>
    </w:p>
    <w:p>
      <w:pPr>
        <w:pBdr>
          <w:top w:val="single" w:color="D9DCE3" w:sz="4" w:space="4"/>
        </w:pBdr>
        <w:shd w:fill="F3F4F7" w:color="auto" w:val="clear"/>
        <w:spacing w:after="160" w:before="60" w:line="250"/>
        <w:ind w:left="120" w:right="120"/>
      </w:pPr>
      <w:r>
        <w:rPr>
          <w:rFonts w:ascii="Consolas" w:cs="Consolas" w:eastAsia="Consolas" w:hAnsi="Consolas"/>
          <w:color w:val="1F2430"/>
          <w:sz w:val="18"/>
          <w:szCs w:val="18"/>
        </w:rPr>
        <w:t xml:space="preserve">docker compose exec api python scripts/create_operator.py name@bighammer.ai</w:t>
      </w:r>
    </w:p>
    <w:p>
      <w:pPr>
        <w:pStyle w:val="Heading2"/>
      </w:pPr>
      <w:r>
        <w:t xml:space="preserve">5.4 Environment file (.env)</w:t>
      </w:r>
    </w:p>
    <w:p>
      <w:pPr>
        <w:spacing w:after="120" w:line="290"/>
      </w:pPr>
      <w:r>
        <w:rPr>
          <w:rFonts w:ascii="Consolas" w:cs="Consolas" w:eastAsia="Consolas" w:hAnsi="Consolas"/>
          <w:sz w:val="19"/>
          <w:szCs w:val="19"/>
          <w:shd w:fill="F3F4F7" w:color="auto" w:val="clear"/>
        </w:rPr>
        <w:t xml:space="preserve">.env</w:t>
      </w:r>
      <w:r>
        <w:t xml:space="preserve"> lives in the project folder and is never committed to Git. </w:t>
      </w:r>
      <w:r>
        <w:rPr>
          <w:rFonts w:ascii="Consolas" w:cs="Consolas" w:eastAsia="Consolas" w:hAnsi="Consolas"/>
          <w:sz w:val="19"/>
          <w:szCs w:val="19"/>
          <w:shd w:fill="F3F4F7" w:color="auto" w:val="clear"/>
        </w:rPr>
        <w:t xml:space="preserve">.env.example</w:t>
      </w:r>
      <w:r>
        <w:t xml:space="preserve"> documents every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1625"/>
        <w:gridCol w:w="4693"/>
      </w:tblGrid>
      <w:tr>
        <w:trPr>
          <w:tblHeader/>
        </w:trPr>
        <w:tc>
          <w:tcPr>
            <w:tcW w:type="dxa" w:w="2708"/>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Setting</w:t>
            </w:r>
          </w:p>
        </w:tc>
        <w:tc>
          <w:tcPr>
            <w:tcW w:type="dxa" w:w="1625"/>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Current value</w:t>
            </w:r>
          </w:p>
        </w:tc>
        <w:tc>
          <w:tcPr>
            <w:tcW w:type="dxa" w:w="4693"/>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Meaning</w:t>
            </w:r>
          </w:p>
        </w:tc>
      </w:tr>
      <w:tr>
        <w:tc>
          <w:tcPr>
            <w:tcW w:type="dxa" w:w="270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APP_SECRET_KEY</w:t>
            </w:r>
          </w:p>
        </w:tc>
        <w:tc>
          <w:tcPr>
            <w:tcW w:type="dxa" w:w="1625"/>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(secret)</w:t>
            </w:r>
          </w:p>
        </w:tc>
        <w:tc>
          <w:tcPr>
            <w:tcW w:type="dxa" w:w="4693"/>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Encrypts stored provider keys and signs logins. </w:t>
            </w:r>
            <w:r>
              <w:rPr>
                <w:b/>
                <w:bCs/>
                <w:sz w:val="19"/>
                <w:szCs w:val="19"/>
              </w:rPr>
              <w:t xml:space="preserve">Losing or changing it makes stored keys unreadable.</w:t>
            </w:r>
            <w:r>
              <w:rPr>
                <w:sz w:val="19"/>
                <w:szCs w:val="19"/>
              </w:rPr>
              <w:t xml:space="preserve"> Keep a safe copy.</w:t>
            </w:r>
          </w:p>
        </w:tc>
      </w:tr>
      <w:tr>
        <w:tc>
          <w:tcPr>
            <w:tcW w:type="dxa" w:w="270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NEXT_PUBLIC_API_URL</w:t>
            </w:r>
          </w:p>
        </w:tc>
        <w:tc>
          <w:tcPr>
            <w:tcW w:type="dxa" w:w="1625"/>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w:t>
            </w:r>
          </w:p>
        </w:tc>
        <w:tc>
          <w:tcPr>
            <w:tcW w:type="dxa" w:w="4693"/>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Where the browser calls the API. </w:t>
            </w:r>
            <w:r>
              <w:rPr>
                <w:rFonts w:ascii="Consolas" w:cs="Consolas" w:eastAsia="Consolas" w:hAnsi="Consolas"/>
                <w:sz w:val="19"/>
                <w:szCs w:val="19"/>
                <w:shd w:fill="F3F4F7" w:color="auto" w:val="clear"/>
              </w:rPr>
              <w:t xml:space="preserve">/</w:t>
            </w:r>
            <w:r>
              <w:rPr>
                <w:sz w:val="19"/>
                <w:szCs w:val="19"/>
              </w:rPr>
              <w:t xml:space="preserve"> means “this same address”. Baked into the frontend at build time: rebuild the frontend after changing it.</w:t>
            </w:r>
          </w:p>
        </w:tc>
      </w:tr>
      <w:tr>
        <w:tc>
          <w:tcPr>
            <w:tcW w:type="dxa" w:w="270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BIND_ADDRESS</w:t>
            </w:r>
          </w:p>
        </w:tc>
        <w:tc>
          <w:tcPr>
            <w:tcW w:type="dxa" w:w="1625"/>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127.0.0.1</w:t>
            </w:r>
          </w:p>
        </w:tc>
        <w:tc>
          <w:tcPr>
            <w:tcW w:type="dxa" w:w="4693"/>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Which host interface the app ports listen on. Keep </w:t>
            </w:r>
            <w:r>
              <w:rPr>
                <w:rFonts w:ascii="Consolas" w:cs="Consolas" w:eastAsia="Consolas" w:hAnsi="Consolas"/>
                <w:sz w:val="19"/>
                <w:szCs w:val="19"/>
                <w:shd w:fill="F3F4F7" w:color="auto" w:val="clear"/>
              </w:rPr>
              <w:t xml:space="preserve">127.0.0.1</w:t>
            </w:r>
            <w:r>
              <w:rPr>
                <w:sz w:val="19"/>
                <w:szCs w:val="19"/>
              </w:rPr>
              <w:t xml:space="preserve">.</w:t>
            </w:r>
          </w:p>
        </w:tc>
      </w:tr>
      <w:tr>
        <w:tc>
          <w:tcPr>
            <w:tcW w:type="dxa" w:w="270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COOKIE_SECURE</w:t>
            </w:r>
          </w:p>
        </w:tc>
        <w:tc>
          <w:tcPr>
            <w:tcW w:type="dxa" w:w="1625"/>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false</w:t>
            </w:r>
          </w:p>
        </w:tc>
        <w:tc>
          <w:tcPr>
            <w:tcW w:type="dxa" w:w="4693"/>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Set </w:t>
            </w:r>
            <w:r>
              <w:rPr>
                <w:rFonts w:ascii="Consolas" w:cs="Consolas" w:eastAsia="Consolas" w:hAnsi="Consolas"/>
                <w:sz w:val="19"/>
                <w:szCs w:val="19"/>
                <w:shd w:fill="F3F4F7" w:color="auto" w:val="clear"/>
              </w:rPr>
              <w:t xml:space="preserve">true</w:t>
            </w:r>
            <w:r>
              <w:rPr>
                <w:sz w:val="19"/>
                <w:szCs w:val="19"/>
              </w:rPr>
              <w:t xml:space="preserve"> when the app is served over HTTPS on a permanent server.</w:t>
            </w:r>
          </w:p>
        </w:tc>
      </w:tr>
      <w:tr>
        <w:tc>
          <w:tcPr>
            <w:tcW w:type="dxa" w:w="270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ALLOWED_ORIGINS</w:t>
            </w:r>
          </w:p>
        </w:tc>
        <w:tc>
          <w:tcPr>
            <w:tcW w:type="dxa" w:w="1625"/>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localhost:3000</w:t>
            </w:r>
          </w:p>
        </w:tc>
        <w:tc>
          <w:tcPr>
            <w:tcW w:type="dxa" w:w="4693"/>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Only matters if the API is ever called from a different address.</w:t>
            </w:r>
          </w:p>
        </w:tc>
      </w:tr>
      <w:tr>
        <w:tc>
          <w:tcPr>
            <w:tcW w:type="dxa" w:w="270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JINA_API_KEY, SERPER_API_KEY, APIFY_TOKEN, GOOGLE_SERVICE_ACCOUNT_JSON</w:t>
            </w:r>
          </w:p>
        </w:tc>
        <w:tc>
          <w:tcPr>
            <w:tcW w:type="dxa" w:w="1625"/>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(optional)</w:t>
            </w:r>
          </w:p>
        </w:tc>
        <w:tc>
          <w:tcPr>
            <w:tcW w:type="dxa" w:w="4693"/>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Fallbacks. Keys entered in Settings take priority.</w:t>
            </w:r>
          </w:p>
        </w:tc>
      </w:tr>
      <w:tr>
        <w:tc>
          <w:tcPr>
            <w:tcW w:type="dxa" w:w="270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ANTHROPIC_API_KEY</w:t>
            </w:r>
          </w:p>
        </w:tc>
        <w:tc>
          <w:tcPr>
            <w:tcW w:type="dxa" w:w="1625"/>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b/>
                <w:bCs/>
                <w:sz w:val="19"/>
                <w:szCs w:val="19"/>
              </w:rPr>
              <w:t xml:space="preserve">not set</w:t>
            </w:r>
          </w:p>
        </w:tc>
        <w:tc>
          <w:tcPr>
            <w:tcW w:type="dxa" w:w="4693"/>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Must stay unset (see 4.1).</w:t>
            </w:r>
          </w:p>
        </w:tc>
      </w:tr>
    </w:tbl>
    <w:p>
      <w:pPr>
        <w:spacing w:after="80"/>
      </w:pPr>
    </w:p>
    <w:p>
      <w:pPr>
        <w:pStyle w:val="Heading2"/>
      </w:pPr>
      <w:r>
        <w:t xml:space="preserve">5.5 Temporary sharing (current setup)</w:t>
      </w:r>
    </w:p>
    <w:p>
      <w:pPr>
        <w:spacing w:after="120" w:line="290"/>
      </w:pPr>
      <w:r>
        <w:t xml:space="preserve">For team testing, the app runs on a Mac and is shared through a free </w:t>
      </w:r>
      <w:r>
        <w:rPr>
          <w:b/>
          <w:bCs/>
        </w:rPr>
        <w:t xml:space="preserve">Cloudflare Quick Tunnel</w:t>
      </w:r>
      <w:r>
        <w:t xml:space="preserve">: a random </w:t>
      </w:r>
      <w:r>
        <w:rPr>
          <w:rFonts w:ascii="Consolas" w:cs="Consolas" w:eastAsia="Consolas" w:hAnsi="Consolas"/>
          <w:sz w:val="19"/>
          <w:szCs w:val="19"/>
          <w:shd w:fill="F3F4F7" w:color="auto" w:val="clear"/>
        </w:rPr>
        <w:t xml:space="preserve">https://….trycloudflare.com</w:t>
      </w:r>
      <w:r>
        <w:t xml:space="preserve"> address, with no account or domain needed.</w:t>
      </w:r>
    </w:p>
    <w:p>
      <w:pPr>
        <w:pBdr>
          <w:top w:val="single" w:color="D9DCE3" w:sz="4" w:space="4"/>
        </w:pBdr>
        <w:shd w:fill="F3F4F7" w:color="auto" w:val="clear"/>
        <w:spacing w:after="0" w:before="60" w:line="250"/>
        <w:ind w:left="120" w:right="120"/>
      </w:pPr>
      <w:r>
        <w:rPr>
          <w:rFonts w:ascii="Consolas" w:cs="Consolas" w:eastAsia="Consolas" w:hAnsi="Consolas"/>
          <w:color w:val="1F2430"/>
          <w:sz w:val="18"/>
          <w:szCs w:val="18"/>
        </w:rPr>
        <w:t xml:space="preserve">deploy/share.sh                        # start sharing; prints the link</w:t>
      </w:r>
    </w:p>
    <w:p>
      <w:pPr>
        <w:pBdr>
          <w:bottom w:val="single" w:color="D9DCE3" w:sz="4" w:space="4"/>
        </w:pBdr>
        <w:shd w:fill="F3F4F7" w:color="auto" w:val="clear"/>
        <w:spacing w:after="160" w:before="0" w:line="250"/>
        <w:ind w:left="120" w:right="120"/>
      </w:pPr>
      <w:r>
        <w:rPr>
          <w:rFonts w:ascii="Consolas" w:cs="Consolas" w:eastAsia="Consolas" w:hAnsi="Consolas"/>
          <w:color w:val="1F2430"/>
          <w:sz w:val="18"/>
          <w:szCs w:val="18"/>
        </w:rPr>
        <w:t xml:space="preserve">pkill -f "cloudflared tunnel"          # stop sharing</w:t>
      </w:r>
    </w:p>
    <w:p>
      <w:pPr>
        <w:pStyle w:val="ListParagraph"/>
        <w:numPr>
          <w:ilvl w:val="0"/>
          <w:numId w:val="2"/>
        </w:numPr>
        <w:spacing w:after="80" w:line="280"/>
      </w:pPr>
      <w:r>
        <w:t xml:space="preserve">The link works only while the Mac is </w:t>
      </w:r>
      <w:r>
        <w:rPr>
          <w:b/>
          <w:bCs/>
        </w:rPr>
        <w:t xml:space="preserve">on, awake, connected and running Docker</w:t>
      </w:r>
      <w:r>
        <w:t xml:space="preserve">. Keep it plugged in with the lid open.</w:t>
      </w:r>
    </w:p>
    <w:p>
      <w:pPr>
        <w:pStyle w:val="ListParagraph"/>
        <w:numPr>
          <w:ilvl w:val="0"/>
          <w:numId w:val="2"/>
        </w:numPr>
        <w:spacing w:after="80" w:line="280"/>
      </w:pPr>
      <w:r>
        <w:rPr>
          <w:b/>
          <w:bCs/>
        </w:rPr>
        <w:t xml:space="preserve">After a Mac restart:</w:t>
      </w:r>
      <w:r>
        <w:t xml:space="preserve"> open Docker Desktop and wait until it says it is running (the app containers restart on their own), then run </w:t>
      </w:r>
      <w:r>
        <w:rPr>
          <w:rFonts w:ascii="Consolas" w:cs="Consolas" w:eastAsia="Consolas" w:hAnsi="Consolas"/>
          <w:sz w:val="19"/>
          <w:szCs w:val="19"/>
          <w:shd w:fill="F3F4F7" w:color="auto" w:val="clear"/>
        </w:rPr>
        <w:t xml:space="preserve">deploy/share.sh</w:t>
      </w:r>
      <w:r>
        <w:t xml:space="preserve"> again and send the new link. Turning on “Start Docker Desktop when you sign in” in Docker’s settings saves the first step.</w:t>
      </w:r>
    </w:p>
    <w:p>
      <w:pPr>
        <w:pStyle w:val="ListParagraph"/>
        <w:numPr>
          <w:ilvl w:val="0"/>
          <w:numId w:val="2"/>
        </w:numPr>
        <w:spacing w:after="80" w:line="280"/>
      </w:pPr>
      <w:r>
        <w:t xml:space="preserve">Every start gives a </w:t>
      </w:r>
      <w:r>
        <w:rPr>
          <w:b/>
          <w:bCs/>
        </w:rPr>
        <w:t xml:space="preserve">new link</w:t>
      </w:r>
      <w:r>
        <w:t xml:space="preserve">. Send the new one to the team after a restart.</w:t>
      </w:r>
    </w:p>
    <w:p>
      <w:pPr>
        <w:pStyle w:val="ListParagraph"/>
        <w:numPr>
          <w:ilvl w:val="0"/>
          <w:numId w:val="2"/>
        </w:numPr>
        <w:spacing w:after="80" w:line="280"/>
      </w:pPr>
      <w:r>
        <w:t xml:space="preserve">Anyone with the link can reach the sign-in page, so share it only with the team. Logins are protected by the attempt limit.</w:t>
      </w:r>
    </w:p>
    <w:p>
      <w:pPr>
        <w:pStyle w:val="ListParagraph"/>
        <w:numPr>
          <w:ilvl w:val="0"/>
          <w:numId w:val="2"/>
        </w:numPr>
        <w:spacing w:after="80" w:line="280"/>
      </w:pPr>
      <w:r>
        <w:t xml:space="preserve">The tunnel’s log is at </w:t>
      </w:r>
      <w:r>
        <w:rPr>
          <w:rFonts w:ascii="Consolas" w:cs="Consolas" w:eastAsia="Consolas" w:hAnsi="Consolas"/>
          <w:sz w:val="19"/>
          <w:szCs w:val="19"/>
          <w:shd w:fill="F3F4F7" w:color="auto" w:val="clear"/>
        </w:rPr>
        <w:t xml:space="preserve">~/Library/Logs/personalization-engine-share.log</w:t>
      </w:r>
      <w:r>
        <w:t xml:space="preserve">.</w:t>
      </w:r>
    </w:p>
    <w:p>
      <w:pPr>
        <w:pStyle w:val="ListParagraph"/>
        <w:numPr>
          <w:ilvl w:val="0"/>
          <w:numId w:val="2"/>
        </w:numPr>
        <w:spacing w:after="80" w:line="280"/>
      </w:pPr>
      <w:r>
        <w:t xml:space="preserve">Cloudflare gives no uptime guarantee for these links. They are for testing, not permanent use.</w:t>
      </w:r>
    </w:p>
    <w:p>
      <w:pPr>
        <w:pStyle w:val="Heading2"/>
      </w:pPr>
      <w:r>
        <w:t xml:space="preserve">5.6 Backups and restore</w:t>
      </w:r>
    </w:p>
    <w:p>
      <w:pPr>
        <w:spacing w:after="120" w:line="290"/>
      </w:pPr>
      <w:r>
        <w:t xml:space="preserve">A backup is the database </w:t>
      </w:r>
      <w:r>
        <w:rPr>
          <w:b/>
          <w:bCs/>
        </w:rPr>
        <w:t xml:space="preserve">plus</w:t>
      </w:r>
      <w:r>
        <w:t xml:space="preserve"> </w:t>
      </w:r>
      <w:r>
        <w:rPr>
          <w:rFonts w:ascii="Consolas" w:cs="Consolas" w:eastAsia="Consolas" w:hAnsi="Consolas"/>
          <w:sz w:val="19"/>
          <w:szCs w:val="19"/>
          <w:shd w:fill="F3F4F7" w:color="auto" w:val="clear"/>
        </w:rPr>
        <w:t xml:space="preserve">.env</w:t>
      </w:r>
      <w:r>
        <w:t xml:space="preserve"> (without the matching </w:t>
      </w:r>
      <w:r>
        <w:rPr>
          <w:rFonts w:ascii="Consolas" w:cs="Consolas" w:eastAsia="Consolas" w:hAnsi="Consolas"/>
          <w:sz w:val="19"/>
          <w:szCs w:val="19"/>
          <w:shd w:fill="F3F4F7" w:color="auto" w:val="clear"/>
        </w:rPr>
        <w:t xml:space="preserve">APP_SECRET_KEY</w:t>
      </w:r>
      <w:r>
        <w:t xml:space="preserve">, stored provider keys cannot be decrypted).</w:t>
      </w:r>
    </w:p>
    <w:p>
      <w:pPr>
        <w:pBdr>
          <w:top w:val="single" w:color="D9DCE3" w:sz="4" w:space="4"/>
        </w:pBdr>
        <w:shd w:fill="F3F4F7" w:color="auto" w:val="clear"/>
        <w:spacing w:after="0" w:before="60" w:line="250"/>
        <w:ind w:left="120" w:right="120"/>
      </w:pPr>
      <w:r>
        <w:rPr>
          <w:rFonts w:ascii="Consolas" w:cs="Consolas" w:eastAsia="Consolas" w:hAnsi="Consolas"/>
          <w:color w:val="1F2430"/>
          <w:sz w:val="18"/>
          <w:szCs w:val="18"/>
        </w:rPr>
        <w:t xml:space="preserve">deploy/backup.sh                       # writes backups/&lt;timestamp&gt;/, keeps the newest 14</w:t>
      </w:r>
    </w:p>
    <w:p>
      <w:pPr>
        <w:shd w:fill="F3F4F7" w:color="auto" w:val="clear"/>
        <w:spacing w:after="0" w:before="0" w:line="250"/>
        <w:ind w:left="120" w:right="120"/>
      </w:pPr>
      <w:r>
        <w:rPr>
          <w:rFonts w:ascii="Consolas" w:cs="Consolas" w:eastAsia="Consolas" w:hAnsi="Consolas"/>
          <w:color w:val="1F2430"/>
          <w:sz w:val="18"/>
          <w:szCs w:val="18"/>
        </w:rPr>
        <w:t xml:space="preserve"> </w:t>
      </w:r>
    </w:p>
    <w:p>
      <w:pPr>
        <w:shd w:fill="F3F4F7" w:color="auto" w:val="clear"/>
        <w:spacing w:after="0" w:before="0" w:line="250"/>
        <w:ind w:left="120" w:right="120"/>
      </w:pPr>
      <w:r>
        <w:rPr>
          <w:rFonts w:ascii="Consolas" w:cs="Consolas" w:eastAsia="Consolas" w:hAnsi="Consolas"/>
          <w:color w:val="1F2430"/>
          <w:sz w:val="18"/>
          <w:szCs w:val="18"/>
        </w:rPr>
        <w:t xml:space="preserve"># restore, on a machine with the same APP_SECRET_KEY in .env:</w:t>
      </w:r>
    </w:p>
    <w:p>
      <w:pPr>
        <w:shd w:fill="F3F4F7" w:color="auto" w:val="clear"/>
        <w:spacing w:after="0" w:before="0" w:line="250"/>
        <w:ind w:left="120" w:right="120"/>
      </w:pPr>
      <w:r>
        <w:rPr>
          <w:rFonts w:ascii="Consolas" w:cs="Consolas" w:eastAsia="Consolas" w:hAnsi="Consolas"/>
          <w:color w:val="1F2430"/>
          <w:sz w:val="18"/>
          <w:szCs w:val="18"/>
        </w:rPr>
        <w:t xml:space="preserve">docker compose up -d mongo</w:t>
      </w:r>
    </w:p>
    <w:p>
      <w:pPr>
        <w:pBdr>
          <w:bottom w:val="single" w:color="D9DCE3" w:sz="4" w:space="4"/>
        </w:pBdr>
        <w:shd w:fill="F3F4F7" w:color="auto" w:val="clear"/>
        <w:spacing w:after="160" w:before="0" w:line="250"/>
        <w:ind w:left="120" w:right="120"/>
      </w:pPr>
      <w:r>
        <w:rPr>
          <w:rFonts w:ascii="Consolas" w:cs="Consolas" w:eastAsia="Consolas" w:hAnsi="Consolas"/>
          <w:color w:val="1F2430"/>
          <w:sz w:val="18"/>
          <w:szCs w:val="18"/>
        </w:rPr>
        <w:t xml:space="preserve">docker compose exec -T mongo mongorestore --archive --gzip --drop &lt; backups/&lt;timestamp&gt;/mongo.archive.gz</w:t>
      </w:r>
    </w:p>
    <w:p>
      <w:pPr>
        <w:spacing w:after="120" w:line="290"/>
      </w:pPr>
      <w:r>
        <w:t xml:space="preserve">The backup and restore were tested: a restored copy matched the live database collection for collection. Backups contain secrets, so the </w:t>
      </w:r>
      <w:r>
        <w:rPr>
          <w:rFonts w:ascii="Consolas" w:cs="Consolas" w:eastAsia="Consolas" w:hAnsi="Consolas"/>
          <w:sz w:val="19"/>
          <w:szCs w:val="19"/>
          <w:shd w:fill="F3F4F7" w:color="auto" w:val="clear"/>
        </w:rPr>
        <w:t xml:space="preserve">backups/</w:t>
      </w:r>
      <w:r>
        <w:t xml:space="preserve"> folder is excluded from Git.</w:t>
      </w:r>
    </w:p>
    <w:p>
      <w:pPr>
        <w:pStyle w:val="Heading2"/>
      </w:pPr>
      <w:r>
        <w:t xml:space="preserve">5.7 Updating</w:t>
      </w:r>
    </w:p>
    <w:p>
      <w:pPr>
        <w:pBdr>
          <w:top w:val="single" w:color="D9DCE3" w:sz="4" w:space="4"/>
        </w:pBdr>
        <w:shd w:fill="F3F4F7" w:color="auto" w:val="clear"/>
        <w:spacing w:after="0" w:before="60" w:line="250"/>
        <w:ind w:left="120" w:right="120"/>
      </w:pPr>
      <w:r>
        <w:rPr>
          <w:rFonts w:ascii="Consolas" w:cs="Consolas" w:eastAsia="Consolas" w:hAnsi="Consolas"/>
          <w:color w:val="1F2430"/>
          <w:sz w:val="18"/>
          <w:szCs w:val="18"/>
        </w:rPr>
        <w:t xml:space="preserve">git pull</w:t>
      </w:r>
    </w:p>
    <w:p>
      <w:pPr>
        <w:pBdr>
          <w:bottom w:val="single" w:color="D9DCE3" w:sz="4" w:space="4"/>
        </w:pBdr>
        <w:shd w:fill="F3F4F7" w:color="auto" w:val="clear"/>
        <w:spacing w:after="160" w:before="0" w:line="250"/>
        <w:ind w:left="120" w:right="120"/>
      </w:pPr>
      <w:r>
        <w:rPr>
          <w:rFonts w:ascii="Consolas" w:cs="Consolas" w:eastAsia="Consolas" w:hAnsi="Consolas"/>
          <w:color w:val="1F2430"/>
          <w:sz w:val="18"/>
          <w:szCs w:val="18"/>
        </w:rPr>
        <w:t xml:space="preserve">docker compose up -d --build</w:t>
      </w:r>
    </w:p>
    <w:p>
      <w:pPr>
        <w:spacing w:after="120" w:line="290"/>
      </w:pPr>
      <w:r>
        <w:t xml:space="preserve">The current code is in the private repository </w:t>
      </w:r>
      <w:r>
        <w:rPr>
          <w:b/>
          <w:bCs/>
        </w:rPr>
        <w:t xml:space="preserve">github.com/nelbinxav/personalization-engine</w:t>
      </w:r>
      <w:r>
        <w:t xml:space="preserve"> (Git remote </w:t>
      </w:r>
      <w:r>
        <w:rPr>
          <w:rFonts w:ascii="Consolas" w:cs="Consolas" w:eastAsia="Consolas" w:hAnsi="Consolas"/>
          <w:sz w:val="19"/>
          <w:szCs w:val="19"/>
          <w:shd w:fill="F3F4F7" w:color="auto" w:val="clear"/>
        </w:rPr>
        <w:t xml:space="preserve">nelbinxav</w:t>
      </w:r>
      <w:r>
        <w:t xml:space="preserve">), which </w:t>
      </w:r>
      <w:r>
        <w:rPr>
          <w:rFonts w:ascii="Consolas" w:cs="Consolas" w:eastAsia="Consolas" w:hAnsi="Consolas"/>
          <w:sz w:val="19"/>
          <w:szCs w:val="19"/>
          <w:shd w:fill="F3F4F7" w:color="auto" w:val="clear"/>
        </w:rPr>
        <w:t xml:space="preserve">git pull</w:t>
      </w:r>
      <w:r>
        <w:t xml:space="preserve"> and </w:t>
      </w:r>
      <w:r>
        <w:rPr>
          <w:rFonts w:ascii="Consolas" w:cs="Consolas" w:eastAsia="Consolas" w:hAnsi="Consolas"/>
          <w:sz w:val="19"/>
          <w:szCs w:val="19"/>
          <w:shd w:fill="F3F4F7" w:color="auto" w:val="clear"/>
        </w:rPr>
        <w:t xml:space="preserve">git push</w:t>
      </w:r>
      <w:r>
        <w:t xml:space="preserve"> use by default. The older copy at GrowthClub-org (remote </w:t>
      </w:r>
      <w:r>
        <w:rPr>
          <w:rFonts w:ascii="Consolas" w:cs="Consolas" w:eastAsia="Consolas" w:hAnsi="Consolas"/>
          <w:sz w:val="19"/>
          <w:szCs w:val="19"/>
          <w:shd w:fill="F3F4F7" w:color="auto" w:val="clear"/>
        </w:rPr>
        <w:t xml:space="preserve">origin</w:t>
      </w:r>
      <w:r>
        <w:t xml:space="preserve">) only has the first version and is no longer updated.</w:t>
      </w:r>
    </w:p>
    <w:p>
      <w:pPr>
        <w:spacing w:after="120" w:line="290"/>
      </w:pPr>
      <w:r>
        <w:t xml:space="preserve">A job that was mid-run when the worker restarted may stay at “Running” with nothing happening. Cancel it and start it again from its upload; rows already done are skipped.</w:t>
      </w:r>
    </w:p>
    <w:p>
      <w:pPr>
        <w:pStyle w:val="Heading1"/>
        <w:pageBreakBefore/>
      </w:pPr>
      <w:r>
        <w:t xml:space="preserve">6. Permanent hosting</w:t>
      </w:r>
    </w:p>
    <w:p>
      <w:pPr>
        <w:spacing w:after="120" w:line="290"/>
      </w:pPr>
      <w:r>
        <w:t xml:space="preserve">Not decided yet. These are the options researched, with terms as checked on 26 September 2026 (free tiers change, so re-check before signing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1625"/>
        <w:gridCol w:w="2347"/>
        <w:gridCol w:w="2166"/>
      </w:tblGrid>
      <w:tr>
        <w:trPr>
          <w:tblHeader/>
        </w:trPr>
        <w:tc>
          <w:tcPr>
            <w:tcW w:type="dxa" w:w="2888"/>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Option</w:t>
            </w:r>
          </w:p>
        </w:tc>
        <w:tc>
          <w:tcPr>
            <w:tcW w:type="dxa" w:w="1625"/>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Cost</w:t>
            </w:r>
          </w:p>
        </w:tc>
        <w:tc>
          <w:tcPr>
            <w:tcW w:type="dxa" w:w="2347"/>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Allowed for business use</w:t>
            </w:r>
          </w:p>
        </w:tc>
        <w:tc>
          <w:tcPr>
            <w:tcW w:type="dxa" w:w="2166"/>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How people reach it</w:t>
            </w:r>
          </w:p>
        </w:tc>
      </w:tr>
      <w:tr>
        <w:tc>
          <w:tcPr>
            <w:tcW w:type="dxa" w:w="288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Oracle Cloud free server + Cloudflare Tunnel + Access</w:t>
            </w:r>
          </w:p>
        </w:tc>
        <w:tc>
          <w:tcPr>
            <w:tcW w:type="dxa" w:w="1625"/>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$0 (card on file)</w:t>
            </w:r>
          </w:p>
        </w:tc>
        <w:tc>
          <w:tcPr>
            <w:tcW w:type="dxa" w:w="2347"/>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Yes, up to 50 users on Cloudflare’s free Zero Trust plan</w:t>
            </w:r>
          </w:p>
        </w:tc>
        <w:tc>
          <w:tcPr>
            <w:tcW w:type="dxa" w:w="2166"/>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Browser, behind a Cloudflare login (e.g. only @bighammer.ai emails)</w:t>
            </w:r>
          </w:p>
        </w:tc>
      </w:tr>
      <w:tr>
        <w:tc>
          <w:tcPr>
            <w:tcW w:type="dxa" w:w="288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Oracle Cloud free server + Tailscale Standard</w:t>
            </w:r>
          </w:p>
        </w:tc>
        <w:tc>
          <w:tcPr>
            <w:tcW w:type="dxa" w:w="1625"/>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$8 per user per month</w:t>
            </w:r>
          </w:p>
        </w:tc>
        <w:tc>
          <w:tcPr>
            <w:tcW w:type="dxa" w:w="2347"/>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Yes</w:t>
            </w:r>
          </w:p>
        </w:tc>
        <w:tc>
          <w:tcPr>
            <w:tcW w:type="dxa" w:w="2166"/>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Private network; Tailscale app on each device</w:t>
            </w:r>
          </w:p>
        </w:tc>
      </w:tr>
      <w:tr>
        <w:tc>
          <w:tcPr>
            <w:tcW w:type="dxa" w:w="288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Oracle Cloud free server + Tailscale Personal</w:t>
            </w:r>
          </w:p>
        </w:tc>
        <w:tc>
          <w:tcPr>
            <w:tcW w:type="dxa" w:w="1625"/>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$0</w:t>
            </w:r>
          </w:p>
        </w:tc>
        <w:tc>
          <w:tcPr>
            <w:tcW w:type="dxa" w:w="2347"/>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b/>
                <w:bCs/>
                <w:sz w:val="19"/>
                <w:szCs w:val="19"/>
              </w:rPr>
              <w:t xml:space="preserve">No</w:t>
            </w:r>
            <w:r>
              <w:rPr>
                <w:sz w:val="19"/>
                <w:szCs w:val="19"/>
              </w:rPr>
              <w:t xml:space="preserve">: the free plan is for non-commercial use only</w:t>
            </w:r>
          </w:p>
        </w:tc>
        <w:tc>
          <w:tcPr>
            <w:tcW w:type="dxa" w:w="2166"/>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Private network</w:t>
            </w:r>
          </w:p>
        </w:tc>
      </w:tr>
      <w:tr>
        <w:tc>
          <w:tcPr>
            <w:tcW w:type="dxa" w:w="288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Small paid server (e.g. Hetzner)</w:t>
            </w:r>
          </w:p>
        </w:tc>
        <w:tc>
          <w:tcPr>
            <w:tcW w:type="dxa" w:w="1625"/>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About €4–5 per month</w:t>
            </w:r>
          </w:p>
        </w:tc>
        <w:tc>
          <w:tcPr>
            <w:tcW w:type="dxa" w:w="2347"/>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Yes</w:t>
            </w:r>
          </w:p>
        </w:tc>
        <w:tc>
          <w:tcPr>
            <w:tcW w:type="dxa" w:w="2166"/>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Combine with either access option above</w:t>
            </w:r>
          </w:p>
        </w:tc>
      </w:tr>
    </w:tbl>
    <w:p>
      <w:pPr>
        <w:spacing w:after="80"/>
      </w:pPr>
    </w:p>
    <w:p>
      <w:pPr>
        <w:pStyle w:val="Heading3"/>
      </w:pPr>
      <w:r>
        <w:t xml:space="preserve">Oracle Cloud “Always Free” server</w:t>
      </w:r>
    </w:p>
    <w:p>
      <w:pPr>
        <w:pStyle w:val="ListParagraph"/>
        <w:numPr>
          <w:ilvl w:val="0"/>
          <w:numId w:val="2"/>
        </w:numPr>
        <w:spacing w:after="80" w:line="280"/>
      </w:pPr>
      <w:r>
        <w:t xml:space="preserve">2 CPU cores and 12 GB of memory (ARM), 200 GB of disk and 10 TB of outbound traffic a month. That is enough for this app.</w:t>
      </w:r>
    </w:p>
    <w:p>
      <w:pPr>
        <w:pStyle w:val="ListParagraph"/>
        <w:numPr>
          <w:ilvl w:val="0"/>
          <w:numId w:val="2"/>
        </w:numPr>
        <w:spacing w:after="80" w:line="280"/>
      </w:pPr>
      <w:r>
        <w:rPr>
          <w:b/>
          <w:bCs/>
        </w:rPr>
        <w:t xml:space="preserve">Idle servers are reclaimed:</w:t>
      </w:r>
      <w:r>
        <w:t xml:space="preserve"> if CPU, network and memory all stay under 20% for 7 days. This app is idle most of the time, so the account should be switched to </w:t>
      </w:r>
      <w:r>
        <w:rPr>
          <w:b/>
          <w:bCs/>
        </w:rPr>
        <w:t xml:space="preserve">Pay As You Go</w:t>
      </w:r>
      <w:r>
        <w:t xml:space="preserve">. That stops reclamation and costs nothing within the free limits, but a card is on file, so set a spending alert of about $1.</w:t>
      </w:r>
    </w:p>
    <w:p>
      <w:pPr>
        <w:pStyle w:val="Heading3"/>
      </w:pPr>
      <w:r>
        <w:t xml:space="preserve">Recommendation</w:t>
      </w:r>
    </w:p>
    <w:p>
      <w:pPr>
        <w:spacing w:after="120" w:line="290"/>
      </w:pPr>
      <w:r>
        <w:rPr>
          <w:b/>
          <w:bCs/>
        </w:rPr>
        <w:t xml:space="preserve">Oracle (Pay As You Go) + Cloudflare Tunnel and Access.</w:t>
      </w:r>
      <w:r>
        <w:t xml:space="preserve"> It is the only option that is both $0 and within the providers’ terms. It needs a domain whose DNS is managed by Cloudflare: either move bighammer.ai’s DNS to Cloudflare (free) or use a separate domain (about $10 a year).</w:t>
      </w:r>
    </w:p>
    <w:p>
      <w:pPr>
        <w:spacing w:after="120" w:line="290"/>
      </w:pPr>
      <w:r>
        <w:t xml:space="preserve">The app is already prepared for this: it is served from one address, so the tunnel points at </w:t>
      </w:r>
      <w:r>
        <w:rPr>
          <w:rFonts w:ascii="Consolas" w:cs="Consolas" w:eastAsia="Consolas" w:hAnsi="Consolas"/>
          <w:sz w:val="19"/>
          <w:szCs w:val="19"/>
          <w:shd w:fill="F3F4F7" w:color="auto" w:val="clear"/>
        </w:rPr>
        <w:t xml:space="preserve">127.0.0.1:3000</w:t>
      </w:r>
      <w:r>
        <w:t xml:space="preserve"> and no code changes are needed. A step-by-step guide for the Tailscale route is in </w:t>
      </w:r>
      <w:r>
        <w:rPr>
          <w:rFonts w:ascii="Consolas" w:cs="Consolas" w:eastAsia="Consolas" w:hAnsi="Consolas"/>
          <w:sz w:val="19"/>
          <w:szCs w:val="19"/>
          <w:shd w:fill="F3F4F7" w:color="auto" w:val="clear"/>
        </w:rPr>
        <w:t xml:space="preserve">deploy/TAILSCALE.md</w:t>
      </w:r>
      <w:r>
        <w:t xml:space="preserve">; the server steps are the same for Cloudflare.</w:t>
      </w:r>
    </w:p>
    <w:p>
      <w:pPr>
        <w:pStyle w:val="Heading1"/>
        <w:pageBreakBefore/>
      </w:pPr>
      <w:r>
        <w:t xml:space="preserve">7.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6679"/>
      </w:tblGrid>
      <w:tr>
        <w:trPr>
          <w:tblHeader/>
        </w:trPr>
        <w:tc>
          <w:tcPr>
            <w:tcW w:type="dxa" w:w="2347"/>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Area</w:t>
            </w:r>
          </w:p>
        </w:tc>
        <w:tc>
          <w:tcPr>
            <w:tcW w:type="dxa" w:w="6679"/>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How it is handled</w:t>
            </w:r>
          </w:p>
        </w:tc>
      </w:tr>
      <w:tr>
        <w:tc>
          <w:tcPr>
            <w:tcW w:type="dxa" w:w="2347"/>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Access</w:t>
            </w:r>
          </w:p>
        </w:tc>
        <w:tc>
          <w:tcPr>
            <w:tcW w:type="dxa" w:w="6679"/>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Every page and API call requires a signed-in account, except the sign-in itself. Sessions last 14 days.</w:t>
            </w:r>
          </w:p>
        </w:tc>
      </w:tr>
      <w:tr>
        <w:tc>
          <w:tcPr>
            <w:tcW w:type="dxa" w:w="2347"/>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Passwords</w:t>
            </w:r>
          </w:p>
        </w:tc>
        <w:tc>
          <w:tcPr>
            <w:tcW w:type="dxa" w:w="6679"/>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Stored as bcrypt hashes. 10 failed attempts per account in 15 minutes locks that account for 15 minutes.</w:t>
            </w:r>
          </w:p>
        </w:tc>
      </w:tr>
      <w:tr>
        <w:tc>
          <w:tcPr>
            <w:tcW w:type="dxa" w:w="2347"/>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Provider keys</w:t>
            </w:r>
          </w:p>
        </w:tc>
        <w:tc>
          <w:tcPr>
            <w:tcW w:type="dxa" w:w="6679"/>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Stored encrypted with </w:t>
            </w:r>
            <w:r>
              <w:rPr>
                <w:rFonts w:ascii="Consolas" w:cs="Consolas" w:eastAsia="Consolas" w:hAnsi="Consolas"/>
                <w:sz w:val="19"/>
                <w:szCs w:val="19"/>
                <w:shd w:fill="F3F4F7" w:color="auto" w:val="clear"/>
              </w:rPr>
              <w:t xml:space="preserve">APP_SECRET_KEY</w:t>
            </w:r>
            <w:r>
              <w:rPr>
                <w:sz w:val="19"/>
                <w:szCs w:val="19"/>
              </w:rPr>
              <w:t xml:space="preserve">; shown masked in Settings.</w:t>
            </w:r>
          </w:p>
        </w:tc>
      </w:tr>
      <w:tr>
        <w:tc>
          <w:tcPr>
            <w:tcW w:type="dxa" w:w="2347"/>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Claude subscription sign-in</w:t>
            </w:r>
          </w:p>
        </w:tc>
        <w:tc>
          <w:tcPr>
            <w:tcW w:type="dxa" w:w="6679"/>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Held by the unmodified Claude Code program in its own storage. The app never reads it; this is what keeps subscription use permitted.</w:t>
            </w:r>
          </w:p>
        </w:tc>
      </w:tr>
      <w:tr>
        <w:tc>
          <w:tcPr>
            <w:tcW w:type="dxa" w:w="2347"/>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Network</w:t>
            </w:r>
          </w:p>
        </w:tc>
        <w:tc>
          <w:tcPr>
            <w:tcW w:type="dxa" w:w="6679"/>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App ports listen on 127.0.0.1 only; the database and queue are never exposed.</w:t>
            </w:r>
          </w:p>
        </w:tc>
      </w:tr>
      <w:tr>
        <w:tc>
          <w:tcPr>
            <w:tcW w:type="dxa" w:w="2347"/>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Code</w:t>
            </w:r>
          </w:p>
        </w:tc>
        <w:tc>
          <w:tcPr>
            <w:tcW w:type="dxa" w:w="6679"/>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Private GitHub repository. </w:t>
            </w:r>
            <w:r>
              <w:rPr>
                <w:rFonts w:ascii="Consolas" w:cs="Consolas" w:eastAsia="Consolas" w:hAnsi="Consolas"/>
                <w:sz w:val="19"/>
                <w:szCs w:val="19"/>
                <w:shd w:fill="F3F4F7" w:color="auto" w:val="clear"/>
              </w:rPr>
              <w:t xml:space="preserve">.env</w:t>
            </w:r>
            <w:r>
              <w:rPr>
                <w:sz w:val="19"/>
                <w:szCs w:val="19"/>
              </w:rPr>
              <w:t xml:space="preserve"> and backups are never committed.</w:t>
            </w:r>
          </w:p>
        </w:tc>
      </w:tr>
      <w:tr>
        <w:tc>
          <w:tcPr>
            <w:tcW w:type="dxa" w:w="2347"/>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Prospect data</w:t>
            </w:r>
          </w:p>
        </w:tc>
        <w:tc>
          <w:tcPr>
            <w:tcW w:type="dxa" w:w="6679"/>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Real personal data (names, emails, LinkedIn). Share the app only with people who should see it.</w:t>
            </w:r>
          </w:p>
        </w:tc>
      </w:tr>
    </w:tbl>
    <w:p>
      <w:pPr>
        <w:pStyle w:val="Heading1"/>
        <w:pageBreakBefore/>
      </w:pPr>
      <w:r>
        <w:t xml:space="preserve">8.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Symptom</w:t>
            </w:r>
          </w:p>
        </w:tc>
        <w:tc>
          <w:tcPr>
            <w:tcW w:type="dxa" w:w="5957"/>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Likely cause and fix</w:t>
            </w:r>
          </w:p>
        </w:tc>
      </w:tr>
      <w:tr>
        <w:tc>
          <w:tcPr>
            <w:tcW w:type="dxa" w:w="3069"/>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The shared link does not open</w:t>
            </w:r>
          </w:p>
        </w:tc>
        <w:tc>
          <w:tcPr>
            <w:tcW w:type="dxa" w:w="5957"/>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The Mac is asleep, off, or the tunnel stopped. Run </w:t>
            </w:r>
            <w:r>
              <w:rPr>
                <w:rFonts w:ascii="Consolas" w:cs="Consolas" w:eastAsia="Consolas" w:hAnsi="Consolas"/>
                <w:sz w:val="19"/>
                <w:szCs w:val="19"/>
                <w:shd w:fill="F3F4F7" w:color="auto" w:val="clear"/>
              </w:rPr>
              <w:t xml:space="preserve">deploy/share.sh</w:t>
            </w:r>
            <w:r>
              <w:rPr>
                <w:sz w:val="19"/>
                <w:szCs w:val="19"/>
              </w:rPr>
              <w:t xml:space="preserve"> again and send the new link. A brand-new link can take a minute to start working.</w:t>
            </w:r>
          </w:p>
        </w:tc>
      </w:tr>
      <w:tr>
        <w:tc>
          <w:tcPr>
            <w:tcW w:type="dxa" w:w="3069"/>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“Too many failed sign-in attempts”</w:t>
            </w:r>
          </w:p>
        </w:tc>
        <w:tc>
          <w:tcPr>
            <w:tcW w:type="dxa" w:w="5957"/>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Wait 15 minutes, or reset the password with </w:t>
            </w:r>
            <w:r>
              <w:rPr>
                <w:rFonts w:ascii="Consolas" w:cs="Consolas" w:eastAsia="Consolas" w:hAnsi="Consolas"/>
                <w:sz w:val="19"/>
                <w:szCs w:val="19"/>
                <w:shd w:fill="F3F4F7" w:color="auto" w:val="clear"/>
              </w:rPr>
              <w:t xml:space="preserve">create_operator.py</w:t>
            </w:r>
            <w:r>
              <w:rPr>
                <w:sz w:val="19"/>
                <w:szCs w:val="19"/>
              </w:rPr>
              <w:t xml:space="preserve">.</w:t>
            </w:r>
          </w:p>
        </w:tc>
      </w:tr>
      <w:tr>
        <w:tc>
          <w:tcPr>
            <w:tcW w:type="dxa" w:w="3069"/>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Sidebar shows Claude “Not connected” or “Misconfigured”</w:t>
            </w:r>
          </w:p>
        </w:tc>
        <w:tc>
          <w:tcPr>
            <w:tcW w:type="dxa" w:w="5957"/>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Settings → Claude connection. For subscription mode, run </w:t>
            </w:r>
            <w:r>
              <w:rPr>
                <w:rFonts w:ascii="Consolas" w:cs="Consolas" w:eastAsia="Consolas" w:hAnsi="Consolas"/>
                <w:sz w:val="19"/>
                <w:szCs w:val="19"/>
                <w:shd w:fill="F3F4F7" w:color="auto" w:val="clear"/>
              </w:rPr>
              <w:t xml:space="preserve">claude auth login</w:t>
            </w:r>
            <w:r>
              <w:rPr>
                <w:sz w:val="19"/>
                <w:szCs w:val="19"/>
              </w:rPr>
              <w:t xml:space="preserve"> in the worker (see 4.1).</w:t>
            </w:r>
          </w:p>
        </w:tc>
      </w:tr>
      <w:tr>
        <w:tc>
          <w:tcPr>
            <w:tcW w:type="dxa" w:w="3069"/>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A job is Paused</w:t>
            </w:r>
          </w:p>
        </w:tc>
        <w:tc>
          <w:tcPr>
            <w:tcW w:type="dxa" w:w="5957"/>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Claude could not be reached or the plan’s usage limit was hit. Fix the connection or wait, then Resume.</w:t>
            </w:r>
          </w:p>
        </w:tc>
      </w:tr>
      <w:tr>
        <w:tc>
          <w:tcPr>
            <w:tcW w:type="dxa" w:w="3069"/>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Every website row fails</w:t>
            </w:r>
          </w:p>
        </w:tc>
        <w:tc>
          <w:tcPr>
            <w:tcW w:type="dxa" w:w="5957"/>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Usually the Jina key: remove a key without credit (4.4). Rate limits show as “Jina Reader rate limit hit”.</w:t>
            </w:r>
          </w:p>
        </w:tc>
      </w:tr>
      <w:tr>
        <w:tc>
          <w:tcPr>
            <w:tcW w:type="dxa" w:w="3069"/>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Every news row fails</w:t>
            </w:r>
          </w:p>
        </w:tc>
        <w:tc>
          <w:tcPr>
            <w:tcW w:type="dxa" w:w="5957"/>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The Serper key is missing or out of credit.</w:t>
            </w:r>
          </w:p>
        </w:tc>
      </w:tr>
      <w:tr>
        <w:tc>
          <w:tcPr>
            <w:tcW w:type="dxa" w:w="3069"/>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Many rows say Needs review</w:t>
            </w:r>
          </w:p>
        </w:tc>
        <w:tc>
          <w:tcPr>
            <w:tcW w:type="dxa" w:w="5957"/>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Research is too thin. Check the sources found something, enable more sources, or sharpen “What we sell”.</w:t>
            </w:r>
          </w:p>
        </w:tc>
      </w:tr>
      <w:tr>
        <w:tc>
          <w:tcPr>
            <w:tcW w:type="dxa" w:w="3069"/>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“No rows need this job”</w:t>
            </w:r>
          </w:p>
        </w:tc>
        <w:tc>
          <w:tcPr>
            <w:tcW w:type="dxa" w:w="5957"/>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Every row already has a result. Tick “Redo rows that already have a result” to run them again.</w:t>
            </w:r>
          </w:p>
        </w:tc>
      </w:tr>
      <w:tr>
        <w:tc>
          <w:tcPr>
            <w:tcW w:type="dxa" w:w="3069"/>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A job stays at Running after a restart</w:t>
            </w:r>
          </w:p>
        </w:tc>
        <w:tc>
          <w:tcPr>
            <w:tcW w:type="dxa" w:w="5957"/>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Cancel it and start again from the upload.</w:t>
            </w:r>
          </w:p>
        </w:tc>
      </w:tr>
      <w:tr>
        <w:tc>
          <w:tcPr>
            <w:tcW w:type="dxa" w:w="3069"/>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“This upload expired before it was committed”</w:t>
            </w:r>
          </w:p>
        </w:tc>
        <w:tc>
          <w:tcPr>
            <w:tcW w:type="dxa" w:w="5957"/>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The column-matching screen was left open for more than an hour. Load the file or sheet again.</w:t>
            </w:r>
          </w:p>
        </w:tc>
      </w:tr>
      <w:tr>
        <w:tc>
          <w:tcPr>
            <w:tcW w:type="dxa" w:w="3069"/>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“Personalize” is suggested again although all rows are done</w:t>
            </w:r>
          </w:p>
        </w:tc>
        <w:tc>
          <w:tcPr>
            <w:tcW w:type="dxa" w:w="5957"/>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Rows that were skipped in research are not counted as researched, so the next-step hint can repeat. The launcher will say “No rows need this job”; the data is fine.</w:t>
            </w:r>
          </w:p>
        </w:tc>
      </w:tr>
    </w:tbl>
    <w:p>
      <w:pPr>
        <w:pStyle w:val="Heading1"/>
        <w:pageBreakBefore/>
      </w:pPr>
      <w:r>
        <w:t xml:space="preserve">9. Open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Decision</w:t>
            </w:r>
          </w:p>
        </w:tc>
        <w:tc>
          <w:tcPr>
            <w:tcW w:type="dxa" w:w="6318"/>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Why it matters</w:t>
            </w:r>
          </w:p>
        </w:tc>
      </w:tr>
      <w:tr>
        <w:tc>
          <w:tcPr>
            <w:tcW w:type="dxa" w:w="270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Permanent hosting</w:t>
            </w:r>
          </w:p>
        </w:tc>
        <w:tc>
          <w:tcPr>
            <w:tcW w:type="dxa" w:w="631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The shared link depends on one Mac being on. See part 6 for options; the recommendation is Oracle + Cloudflare at $0.</w:t>
            </w:r>
          </w:p>
        </w:tc>
      </w:tr>
      <w:tr>
        <w:tc>
          <w:tcPr>
            <w:tcW w:type="dxa" w:w="270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Claude subscription vs API</w:t>
            </w:r>
          </w:p>
        </w:tc>
        <w:tc>
          <w:tcPr>
            <w:tcW w:type="dxa" w:w="631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Team use of one person’s subscription may breach consumer-plan terms, and heavy testing can hit its usage limits.</w:t>
            </w:r>
          </w:p>
        </w:tc>
      </w:tr>
      <w:tr>
        <w:tc>
          <w:tcPr>
            <w:tcW w:type="dxa" w:w="270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Jina credit</w:t>
            </w:r>
          </w:p>
        </w:tc>
        <w:tc>
          <w:tcPr>
            <w:tcW w:type="dxa" w:w="631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Only needed if website research starts hitting rate limits on full sheets.</w:t>
            </w:r>
          </w:p>
        </w:tc>
      </w:tr>
      <w:tr>
        <w:tc>
          <w:tcPr>
            <w:tcW w:type="dxa" w:w="270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Per-status counts for uploads</w:t>
            </w:r>
          </w:p>
        </w:tc>
        <w:tc>
          <w:tcPr>
            <w:tcW w:type="dxa" w:w="631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A small backend addition would stop the next-step hint repeating for uploads with skipped rows.</w:t>
            </w:r>
          </w:p>
        </w:tc>
      </w:tr>
      <w:tr>
        <w:tc>
          <w:tcPr>
            <w:tcW w:type="dxa" w:w="270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Old GrowthClub-org repository</w:t>
            </w:r>
          </w:p>
        </w:tc>
        <w:tc>
          <w:tcPr>
            <w:tcW w:type="dxa" w:w="6318"/>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It still holds the first version of the code. Archive it, or keep it in sync, so nobody works from the outdated copy.</w:t>
            </w:r>
          </w:p>
        </w:tc>
      </w:tr>
    </w:tbl>
    <w:p>
      <w:pPr>
        <w:pStyle w:val="Heading2"/>
      </w:pPr>
      <w:r>
        <w:t xml:space="preserve">Where things are in the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Path</w:t>
            </w:r>
          </w:p>
        </w:tc>
        <w:tc>
          <w:tcPr>
            <w:tcW w:type="dxa" w:w="5957"/>
            <w:tcBorders>
              <w:top w:val="single" w:color="D9DCE3" w:sz="4"/>
              <w:left w:val="single" w:color="D9DCE3" w:sz="4"/>
              <w:bottom w:val="single" w:color="D9DCE3" w:sz="4"/>
              <w:right w:val="single" w:color="D9DCE3" w:sz="4"/>
            </w:tcBorders>
            <w:shd w:fill="F7E3D6" w:color="auto" w:val="clear"/>
            <w:tcMar>
              <w:top w:type="dxa" w:w="70"/>
              <w:left w:type="dxa" w:w="110"/>
              <w:bottom w:type="dxa" w:w="70"/>
              <w:right w:type="dxa" w:w="110"/>
            </w:tcMar>
          </w:tcPr>
          <w:p>
            <w:pPr>
              <w:spacing w:after="30" w:line="260"/>
            </w:pPr>
            <w:r>
              <w:rPr>
                <w:b/>
                <w:bCs/>
                <w:sz w:val="19"/>
                <w:szCs w:val="19"/>
              </w:rPr>
              <w:t xml:space="preserve">Contents</w:t>
            </w:r>
          </w:p>
        </w:tc>
      </w:tr>
      <w:tr>
        <w:tc>
          <w:tcPr>
            <w:tcW w:type="dxa" w:w="3069"/>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frontend/app/(app)/</w:t>
            </w:r>
          </w:p>
        </w:tc>
        <w:tc>
          <w:tcPr>
            <w:tcW w:type="dxa" w:w="5957"/>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The pages: overview, uploads, jobs, prompts, templates, settings</w:t>
            </w:r>
          </w:p>
        </w:tc>
      </w:tr>
      <w:tr>
        <w:tc>
          <w:tcPr>
            <w:tcW w:type="dxa" w:w="3069"/>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frontend/lib/workflow.ts</w:t>
            </w:r>
          </w:p>
        </w:tc>
        <w:tc>
          <w:tcPr>
            <w:tcW w:type="dxa" w:w="5957"/>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Next-step logic and the readiness checks</w:t>
            </w:r>
          </w:p>
        </w:tc>
      </w:tr>
      <w:tr>
        <w:tc>
          <w:tcPr>
            <w:tcW w:type="dxa" w:w="3069"/>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frontend/components/</w:t>
            </w:r>
          </w:p>
        </w:tc>
        <w:tc>
          <w:tcPr>
            <w:tcW w:type="dxa" w:w="5957"/>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The component library and the shared job launcher</w:t>
            </w:r>
          </w:p>
        </w:tc>
      </w:tr>
      <w:tr>
        <w:tc>
          <w:tcPr>
            <w:tcW w:type="dxa" w:w="3069"/>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backend/app/sources/</w:t>
            </w:r>
          </w:p>
        </w:tc>
        <w:tc>
          <w:tcPr>
            <w:tcW w:type="dxa" w:w="5957"/>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Research sources; add a new one to registry.py</w:t>
            </w:r>
          </w:p>
        </w:tc>
      </w:tr>
      <w:tr>
        <w:tc>
          <w:tcPr>
            <w:tcW w:type="dxa" w:w="3069"/>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backend/app/ai/</w:t>
            </w:r>
          </w:p>
        </w:tc>
        <w:tc>
          <w:tcPr>
            <w:tcW w:type="dxa" w:w="5957"/>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The Claude chain, credentials, subscription mode, model prices</w:t>
            </w:r>
          </w:p>
        </w:tc>
      </w:tr>
      <w:tr>
        <w:tc>
          <w:tcPr>
            <w:tcW w:type="dxa" w:w="3069"/>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backend/app/worker/</w:t>
            </w:r>
          </w:p>
        </w:tc>
        <w:tc>
          <w:tcPr>
            <w:tcW w:type="dxa" w:w="5957"/>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Background tasks and job bookkeeping</w:t>
            </w:r>
          </w:p>
        </w:tc>
      </w:tr>
      <w:tr>
        <w:tc>
          <w:tcPr>
            <w:tcW w:type="dxa" w:w="3069"/>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deploy/</w:t>
            </w:r>
          </w:p>
        </w:tc>
        <w:tc>
          <w:tcPr>
            <w:tcW w:type="dxa" w:w="5957"/>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share.sh, backup.sh, TAILSCALE.md</w:t>
            </w:r>
          </w:p>
        </w:tc>
      </w:tr>
      <w:tr>
        <w:tc>
          <w:tcPr>
            <w:tcW w:type="dxa" w:w="3069"/>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CLAUDE.md</w:t>
            </w:r>
          </w:p>
        </w:tc>
        <w:tc>
          <w:tcPr>
            <w:tcW w:type="dxa" w:w="5957"/>
            <w:tcBorders>
              <w:top w:val="single" w:color="D9DCE3" w:sz="4"/>
              <w:left w:val="single" w:color="D9DCE3" w:sz="4"/>
              <w:bottom w:val="single" w:color="D9DCE3" w:sz="4"/>
              <w:right w:val="single" w:color="D9DCE3" w:sz="4"/>
            </w:tcBorders>
            <w:tcMar>
              <w:top w:type="dxa" w:w="70"/>
              <w:left w:type="dxa" w:w="110"/>
              <w:bottom w:type="dxa" w:w="70"/>
              <w:right w:type="dxa" w:w="110"/>
            </w:tcMar>
          </w:tcPr>
          <w:p>
            <w:pPr>
              <w:spacing w:after="30" w:line="260"/>
            </w:pPr>
            <w:r>
              <w:rPr>
                <w:sz w:val="19"/>
                <w:szCs w:val="19"/>
              </w:rPr>
              <w:t xml:space="preserve">Architecture notes and the rules not to break, for developers</w:t>
            </w:r>
          </w:p>
        </w:tc>
      </w:tr>
    </w:tbl>
    <w:sectPr>
      <w:headerReference w:type="default" r:id="rId7"/>
      <w:footerReference w:type="default" r:id="rId8"/>
      <w:footerReference w:type="first" r:id="rId9"/>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27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270"/>
        <w:sz w:val="16"/>
        <w:szCs w:val="16"/>
      </w:rPr>
      <w:t xml:space="preserve">Personalization Engine · Team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611A" w:sz="8" w:space="6"/>
      </w:pBdr>
      <w:spacing w:after="200" w:before="0"/>
      <w:outlineLvl w:val="0"/>
    </w:pPr>
    <w:rPr>
      <w:rFonts w:ascii="Calibri" w:cs="Calibri" w:eastAsia="Calibri" w:hAnsi="Calibri"/>
      <w:b/>
      <w:bCs/>
      <w:color w:val="1F2430"/>
      <w:sz w:val="36"/>
      <w:szCs w:val="36"/>
    </w:rPr>
  </w:style>
  <w:style w:type="paragraph" w:styleId="Heading2">
    <w:name w:val="Heading 2"/>
    <w:basedOn w:val="Normal"/>
    <w:next w:val="Normal"/>
    <w:qFormat/>
    <w:pPr>
      <w:keepNext/>
      <w:spacing w:after="120" w:before="320"/>
      <w:outlineLvl w:val="1"/>
    </w:pPr>
    <w:rPr>
      <w:rFonts w:ascii="Calibri" w:cs="Calibri" w:eastAsia="Calibri" w:hAnsi="Calibri"/>
      <w:b/>
      <w:bCs/>
      <w:color w:val="E8611A"/>
      <w:sz w:val="27"/>
      <w:szCs w:val="27"/>
    </w:rPr>
  </w:style>
  <w:style w:type="paragraph" w:styleId="Heading3">
    <w:name w:val="Heading 3"/>
    <w:basedOn w:val="Normal"/>
    <w:next w:val="Normal"/>
    <w:qFormat/>
    <w:pPr>
      <w:keepNext/>
      <w:spacing w:after="80" w:before="220"/>
      <w:outlineLvl w:val="2"/>
    </w:pPr>
    <w:rPr>
      <w:rFonts w:ascii="Calibri" w:cs="Calibri" w:eastAsia="Calibri" w:hAnsi="Calibri"/>
      <w:b/>
      <w:bCs/>
      <w:color w:val="1F243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Personalization Engine: Team Handbook</dc:title>
  <dc:creator>Nelbin Joseph</dc:creator>
  <dc:description>How the Personalization Engine works, how to use it, and how it is set up.</dc:description>
  <cp:lastModifiedBy>Un-named</cp:lastModifiedBy>
  <cp:revision>1</cp:revision>
  <dcterms:created xsi:type="dcterms:W3CDTF">2026-09-26T07:04:14.555Z</dcterms:created>
  <dcterms:modified xsi:type="dcterms:W3CDTF">2026-09-26T07:04:14.562Z</dcterms:modified>
</cp:coreProperties>
</file>

<file path=docProps/custom.xml><?xml version="1.0" encoding="utf-8"?>
<Properties xmlns="http://schemas.openxmlformats.org/officeDocument/2006/custom-properties" xmlns:vt="http://schemas.openxmlformats.org/officeDocument/2006/docPropsVTypes"/>
</file>