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&amp; regulatory readiness pack</w:t>
      </w:r>
    </w:p>
    <w:p>
      <w:r>
        <w:t>Automated analysis summary for audit preparation. Policy clause links are shown where verified against ingested standard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FSP003 — Vehicle Loading &amp; Unloading</w:t>
            </w:r>
          </w:p>
        </w:tc>
      </w:tr>
      <w:tr>
        <w:tc>
          <w:tcPr>
            <w:tcW w:type="dxa" w:w="4320"/>
          </w:tcPr>
          <w:p>
            <w:r>
              <w:t>Document layer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Sites</w:t>
            </w:r>
          </w:p>
        </w:tc>
        <w:tc>
          <w:tcPr>
            <w:tcW w:type="dxa" w:w="4320"/>
          </w:tcPr>
          <w:p>
            <w:r>
              <w:t>site-a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Lee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r>
              <w:t>2026-03-30 09:00 UTC</w:t>
            </w:r>
          </w:p>
        </w:tc>
      </w:tr>
      <w:tr>
        <w:tc>
          <w:tcPr>
            <w:tcW w:type="dxa" w:w="4320"/>
          </w:tcPr>
          <w:p>
            <w:r>
              <w:t>Tracking ID</w:t>
            </w:r>
          </w:p>
        </w:tc>
        <w:tc>
          <w:tcPr>
            <w:tcW w:type="dxa" w:w="4320"/>
          </w:tcPr>
          <w:p>
            <w:r>
              <w:t>demo-123</w:t>
            </w:r>
          </w:p>
        </w:tc>
      </w:tr>
      <w:tr>
        <w:tc>
          <w:tcPr>
            <w:tcW w:type="dxa" w:w="4320"/>
          </w:tcPr>
          <w:p>
            <w:r>
              <w:t>Draft ready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Overall risk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Agents run</w:t>
            </w:r>
          </w:p>
        </w:tc>
        <w:tc>
          <w:tcPr>
            <w:tcW w:type="dxa" w:w="4320"/>
          </w:tcPr>
          <w:p>
            <w:r>
              <w:t>cleansing, draft_layout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Flag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Terminology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Risk gaps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Cleanser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Specifying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Structure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Content integrity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Sequencing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Formatting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Compliance flags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Agent Timings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Duration (ms)</w:t>
            </w:r>
          </w:p>
        </w:tc>
      </w:tr>
      <w:tr>
        <w:tc>
          <w:tcPr>
            <w:tcW w:type="dxa" w:w="4320"/>
          </w:tcPr>
          <w:p>
            <w:r>
              <w:t>cleansing</w:t>
            </w:r>
          </w:p>
        </w:tc>
        <w:tc>
          <w:tcPr>
            <w:tcW w:type="dxa" w:w="4320"/>
          </w:tcPr>
          <w:p>
            <w:r>
              <w:t>1234</w:t>
            </w:r>
          </w:p>
        </w:tc>
      </w:tr>
    </w:tbl>
    <w:p/>
    <w:p>
      <w:pPr>
        <w:pStyle w:val="Heading1"/>
      </w:pPr>
      <w:r>
        <w:t>Conflicts</w:t>
      </w:r>
    </w:p>
    <w:p>
      <w:r>
        <w:t>Count: 0</w:t>
      </w:r>
    </w:p>
    <w:p>
      <w:pPr>
        <w:pStyle w:val="Heading1"/>
      </w:pPr>
      <w:r>
        <w:t>Risk Gaps</w:t>
      </w:r>
    </w:p>
    <w:p>
      <w:r>
        <w:t>Count: 1</w:t>
      </w:r>
    </w:p>
    <w:p>
      <w:pPr>
        <w:pStyle w:val="Heading2"/>
      </w:pPr>
      <w:r>
        <w:t>Step 4</w:t>
      </w:r>
    </w:p>
    <w:p>
      <w:r>
        <w:t>Band: HIGH | Score: 50 | Dimensions: Severity=5 × Scope=5 × Detectability=2</w:t>
      </w:r>
    </w:p>
    <w:p>
      <w:r>
        <w:t>Issue: Gap</w:t>
      </w:r>
    </w:p>
    <w:p>
      <w:r>
        <w:t>Risk: Risk</w:t>
      </w:r>
    </w:p>
    <w:p>
      <w:r>
        <w:t>Recommendation: Do X</w:t>
      </w:r>
    </w:p>
    <w:p>
      <w:pPr>
        <w:pStyle w:val="Heading1"/>
      </w:pPr>
      <w:r>
        <w:t>Compliance Flags</w:t>
      </w:r>
    </w:p>
    <w:p>
      <w:r>
        <w:t>Count: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  <w:tc>
          <w:tcPr>
            <w:tcW w:type="dxa" w:w="2160"/>
          </w:tcPr>
          <w:p>
            <w:r>
              <w:t>Policy clause mapping</w:t>
            </w:r>
          </w:p>
        </w:tc>
      </w:tr>
      <w:tr>
        <w:tc>
          <w:tcPr>
            <w:tcW w:type="dxa" w:w="2160"/>
          </w:tcPr>
          <w:p>
            <w:r>
              <w:t>Sec 1</w:t>
            </w:r>
          </w:p>
        </w:tc>
        <w:tc>
          <w:tcPr>
            <w:tcW w:type="dxa" w:w="2160"/>
          </w:tcPr>
          <w:p>
            <w:r>
              <w:t>Missing clause</w:t>
            </w:r>
          </w:p>
        </w:tc>
        <w:tc>
          <w:tcPr>
            <w:tcW w:type="dxa" w:w="2160"/>
          </w:tcPr>
          <w:p>
            <w:r>
              <w:t>Add clause</w:t>
            </w:r>
          </w:p>
        </w:tc>
        <w:tc>
          <w:tcPr>
            <w:tcW w:type="dxa" w:w="2160"/>
          </w:tcPr>
          <w:p>
            <w:r>
              <w:t>linked: BRCGS 4.1</w:t>
            </w:r>
          </w:p>
        </w:tc>
      </w:tr>
    </w:tbl>
    <w:p/>
    <w:p/>
    <w:p>
      <w:pPr>
        <w:pStyle w:val="Heading1"/>
      </w:pPr>
      <w:r>
        <w:t>Appendix</w:t>
      </w:r>
    </w:p>
    <w:p>
      <w:r>
        <w:t>Generated by Technical Standards AI Platform.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