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180" w:before="36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Introducción y Justificación de la Investigación</w:t>
      </w:r>
    </w:p>
    <w:p w:rsidR="00000000" w:rsidDel="00000000" w:rsidP="00000000" w:rsidRDefault="00000000" w:rsidRPr="00000000" w14:paraId="00000003">
      <w:pPr>
        <w:spacing w:after="240" w:before="18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paradigma tradicional de seguridad perimetral basado en la premisa "usuario autenticado=usuario confiable" resulta insuficiente para la infraestructura distribuida de la Universidad Nova Digital. La proliferación de accesos asincrónicos por parte de estudiantes, docentes y administradores desde diversas redes y dispositivos exige la adopción de un modelo Zero Trust.</w:t>
      </w:r>
    </w:p>
    <w:p w:rsidR="00000000" w:rsidDel="00000000" w:rsidP="00000000" w:rsidRDefault="00000000" w:rsidRPr="00000000" w14:paraId="00000004">
      <w:pPr>
        <w:spacing w:after="240" w:before="18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dar cumplimiento a los objetivos operativos de la UTDSI, se ha realizado una investigación exhaustiva de cinco soluciones líderes en la gestión de identidades y accesos (IAM). Esta evaluación analiza la viabilidad técnica, las capacidades operativas y las restricciones de licenciamiento para el desarrollo del prototipo.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80" w:before="36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Análisis Comparativo de Proveedores IAM</w:t>
      </w:r>
    </w:p>
    <w:p w:rsidR="00000000" w:rsidDel="00000000" w:rsidP="00000000" w:rsidRDefault="00000000" w:rsidRPr="00000000" w14:paraId="00000006">
      <w:pPr>
        <w:spacing w:after="240" w:before="18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determinar la plataforma idónea, se evaluaron soluciones de tipo Identity as a Service basadas en la nube pública y alternativas self hosted, midiendo su capacidad para mitigar los riesgos del entorno de la institución educativa.</w:t>
      </w:r>
    </w:p>
    <w:p w:rsidR="00000000" w:rsidDel="00000000" w:rsidP="00000000" w:rsidRDefault="00000000" w:rsidRPr="00000000" w14:paraId="00000007">
      <w:pPr>
        <w:spacing w:after="180" w:before="36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 Matriz de Criterios Técnicos y Capacidades Zero Trust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505"/>
        <w:gridCol w:w="1505"/>
        <w:gridCol w:w="1505"/>
        <w:gridCol w:w="1505"/>
        <w:gridCol w:w="1505"/>
        <w:tblGridChange w:id="0">
          <w:tblGrid>
            <w:gridCol w:w="1505"/>
            <w:gridCol w:w="1505"/>
            <w:gridCol w:w="1505"/>
            <w:gridCol w:w="1505"/>
            <w:gridCol w:w="1505"/>
            <w:gridCol w:w="150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Proveedor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Modelo de 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Gestión de 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Granularidad de Autorización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Capacidad de Auditoría 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Complejidad Operativa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IDaaS (Nube Administrada)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(Nativa, adaptativa por contexto)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(RBAC dinámico y Actions)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(Consola integrada y exportable)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Baja (SDKs listos para producción)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Keycloak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2"/>
                <w:szCs w:val="22"/>
                <w:rtl w:val="0"/>
              </w:rPr>
              <w:t xml:space="preserve">Self-Hosted (On-Premises/VPS)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(OTP, WebAuth configurable)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Muy Alta (Políticas basadas en atributos - ABAC)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(Almacenamiento local personalizable)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(Requiere gestión de infraestructura)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IDaaS (Nube Administrada)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Básica (SMS y correo en plan gratuito)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Baja (Depende de Custom Claims manuales)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 (Logs a través de Google Cloud)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Muy Baja (Integración directa con el Frontend)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AWS Cognito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IDaaS (Nube Administrada)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 (SMS y TOTP estándar)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 (Mapeo a roles de infraestructura AWS)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(Monitoreo vía Amazon CloudWatch)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 (Curva de aprendizaje enfocada en AWS)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Microsoft Entra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IDaaS / Híbrido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Muy Alta (Acceso Condicional avanzado)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Alta (RBAC institucional y grupos dinámicos)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Muy Alta (Registro unificado empresarial)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Media-Alta (Requiere tenant empresarial)</w:t>
            </w:r>
          </w:p>
        </w:tc>
      </w:tr>
    </w:tbl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80" w:before="36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Evaluación de Viabilidad Económica y Operativa</w:t>
      </w:r>
    </w:p>
    <w:p w:rsidR="00000000" w:rsidDel="00000000" w:rsidP="00000000" w:rsidRDefault="00000000" w:rsidRPr="00000000" w14:paraId="0000002D">
      <w:pPr>
        <w:spacing w:after="240" w:before="18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Dado que el proyecto se desarrollará bajo restricciones de presupuesto educativo, el control de cuotas y los límites de la capa gratuita representan un factor crítico de éxito</w:t>
      </w:r>
    </w:p>
    <w:p w:rsidR="00000000" w:rsidDel="00000000" w:rsidP="00000000" w:rsidRDefault="00000000" w:rsidRPr="00000000" w14:paraId="0000002E">
      <w:pPr>
        <w:spacing w:after="180" w:before="360" w:line="276" w:lineRule="auto"/>
        <w:ind w:firstLine="7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 Límites de Recursos y Restricciones de Licenciamiento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Proveedor 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Límites de usuarios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Disponibilidad de MFA en plan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Soporte de protocolos estándar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4c2f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Principales observaciones para el prototipo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Auth0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Hasta 25,000 usuarios activos mensuales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Incluido (Periodo de prueba)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OAuth 2.0, OIDC, SAML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Opción óptima. Equilibrio perfecto entre cero costo y capacidades Zero Trust avanzadas.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Keycloak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Sin límites (sujeto al hardware del servidor)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Incluido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OAuth 2.0, OIDC, SAML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Requiere hosting propio lo que consume recursos de cómputo del equipo.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Firebase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Hasta 3,000 usuarios activos diarios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Limitado (costos adicionales por uso de SMS)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OAuth 2.0, OIDC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Excelente para autenticación simple, pero carece de un motor de autorización granular nativo.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AWS Cognito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Hasta 50,000 usuarios activos mensuales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Incluido (TOTP sin costo)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OAuth 2.0, OIDC, SAML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Las herramientas de auditoría avanzada pueden generar costos de almacenamiento extras.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Microsoft Entra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Limitado (funciones avanzadas bloqueadas)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Requiere licencias Premium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OAuth 2.0, OIDC, SAML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acceso condicional no está disponible en la versión gratuita estándar.</w:t>
            </w:r>
          </w:p>
        </w:tc>
      </w:tr>
    </w:tbl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180" w:before="36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Formalización del Plan de Recursos Tecnológicos</w:t>
      </w:r>
    </w:p>
    <w:p w:rsidR="00000000" w:rsidDel="00000000" w:rsidP="00000000" w:rsidRDefault="00000000" w:rsidRPr="00000000" w14:paraId="0000004E">
      <w:pPr>
        <w:spacing w:after="180" w:before="36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Como resultado de la investigación, se formaliza la siguiente propuesta debido a que se alinea con los requisitos y la calendarización del proyecto.</w:t>
      </w:r>
    </w:p>
    <w:p w:rsidR="00000000" w:rsidDel="00000000" w:rsidP="00000000" w:rsidRDefault="00000000" w:rsidRPr="00000000" w14:paraId="0000004F">
      <w:pPr>
        <w:spacing w:after="180" w:before="36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Opción Seleccionada: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Auth0</w:t>
      </w:r>
    </w:p>
    <w:p w:rsidR="00000000" w:rsidDel="00000000" w:rsidP="00000000" w:rsidRDefault="00000000" w:rsidRPr="00000000" w14:paraId="00000050">
      <w:pPr>
        <w:spacing w:after="180" w:before="36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Recurso: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Servicio de Identidad</w:t>
      </w:r>
    </w:p>
    <w:p w:rsidR="00000000" w:rsidDel="00000000" w:rsidP="00000000" w:rsidRDefault="00000000" w:rsidRPr="00000000" w14:paraId="00000051">
      <w:pPr>
        <w:spacing w:after="180" w:before="36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Proveedor / Plataforma: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Auth0</w:t>
      </w:r>
    </w:p>
    <w:p w:rsidR="00000000" w:rsidDel="00000000" w:rsidP="00000000" w:rsidRDefault="00000000" w:rsidRPr="00000000" w14:paraId="00000052">
      <w:pPr>
        <w:spacing w:after="180" w:before="36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Responsable: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Ingeniero IAM Jr.</w:t>
      </w:r>
    </w:p>
    <w:p w:rsidR="00000000" w:rsidDel="00000000" w:rsidP="00000000" w:rsidRDefault="00000000" w:rsidRPr="00000000" w14:paraId="00000053">
      <w:pPr>
        <w:spacing w:after="180" w:before="36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Tipo / Plan: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Free Tier / Educativo</w:t>
      </w:r>
    </w:p>
    <w:p w:rsidR="00000000" w:rsidDel="00000000" w:rsidP="00000000" w:rsidRDefault="00000000" w:rsidRPr="00000000" w14:paraId="00000054">
      <w:pPr>
        <w:spacing w:after="180" w:before="36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Límites / Observaciones: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Controlar el tope de 25,000 MAUs. Validar la expiración segura de los tokens JWT emitidos y configurar la MFA adaptativa para roles administrativos.</w:t>
      </w:r>
    </w:p>
    <w:p w:rsidR="00000000" w:rsidDel="00000000" w:rsidP="00000000" w:rsidRDefault="00000000" w:rsidRPr="00000000" w14:paraId="00000055">
      <w:pPr>
        <w:spacing w:after="180" w:before="36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Uso previsto en el proyecto: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Centralización del login, emisión de tokens de acceso, gestión del ciclo de vida de usuarios y segmentación lógica de roles institucionales.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180" w:before="360" w:line="276" w:lineRule="auto"/>
        <w:ind w:left="72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Conclusiones de la Investigación</w:t>
      </w:r>
    </w:p>
    <w:p w:rsidR="00000000" w:rsidDel="00000000" w:rsidP="00000000" w:rsidRDefault="00000000" w:rsidRPr="00000000" w14:paraId="00000057">
      <w:pPr>
        <w:spacing w:after="240" w:before="1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los objetivos específicos del prototipo de la Universidad Nova Digital, se concluye que Auth0 representa la alternativa con mayor viabilidad técnica y operativa. Su despliegue ágil permite mitigar de forma inmediata riesgos asociados a la autenticación débil mediante MFA nativo, permitiendo al equipo concentrar el esfuerzo de desarrollo asincrónico en la construcción del Backend seguro y el módulo de trazabilidad durante las fases subsecuentes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Museo Sans 300" w:cs="Museo Sans 300" w:eastAsia="Museo Sans 300" w:hAnsi="Museo Sans 300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Museo Sans 300" w:cs="Museo Sans 300" w:eastAsia="Museo Sans 300" w:hAnsi="Museo Sans 300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rFonts w:ascii="Avenir" w:cs="Avenir" w:eastAsia="Avenir" w:hAnsi="Avenir"/>
          <w:color w:val="3a3a3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useo Sans 300"/>
  <w:font w:name="Avenir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-1083389</wp:posOffset>
          </wp:positionH>
          <wp:positionV relativeFrom="paragraph">
            <wp:posOffset>-452833</wp:posOffset>
          </wp:positionV>
          <wp:extent cx="7799998" cy="1009375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9998" cy="100937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SV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1zYcT79ytdgkVuCzPY6edQOlgw==">CgMxLjA4AHIhMXFuSjU1Sm1TMlhrYU1pOWd4WHZBTHVGcVkxbl9YNnY0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