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4.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68C424" w14:textId="4CB74654" w:rsidR="00C47B31" w:rsidRPr="00E32A7A" w:rsidRDefault="00C47B31">
      <w:pPr>
        <w:rPr>
          <w:rFonts w:ascii="Arial" w:hAnsi="Arial" w:cs="Arial"/>
        </w:rPr>
      </w:pPr>
    </w:p>
    <w:p w14:paraId="1E14D86F" w14:textId="71CA3EC8" w:rsidR="00C47B31" w:rsidRPr="00E32A7A" w:rsidRDefault="00C47B31" w:rsidP="00C47B31">
      <w:pPr>
        <w:jc w:val="center"/>
        <w:rPr>
          <w:rFonts w:ascii="Arial" w:eastAsia="Museo Sans 300" w:hAnsi="Arial" w:cs="Arial"/>
          <w:b/>
        </w:rPr>
      </w:pPr>
    </w:p>
    <w:p w14:paraId="7991BFC7" w14:textId="23C3C005" w:rsidR="00C47B31" w:rsidRPr="00E32A7A" w:rsidRDefault="00B651A2" w:rsidP="00C47B31">
      <w:pPr>
        <w:jc w:val="center"/>
        <w:rPr>
          <w:rFonts w:ascii="Arial" w:eastAsia="Museo Sans 300" w:hAnsi="Arial" w:cs="Arial"/>
          <w:b/>
        </w:rPr>
      </w:pPr>
      <w:r w:rsidRPr="00E32A7A">
        <w:rPr>
          <w:rFonts w:ascii="Arial" w:hAnsi="Arial" w:cs="Arial"/>
          <w:noProof/>
        </w:rPr>
        <mc:AlternateContent>
          <mc:Choice Requires="wps">
            <w:drawing>
              <wp:anchor distT="0" distB="0" distL="114300" distR="114300" simplePos="0" relativeHeight="251659264" behindDoc="0" locked="0" layoutInCell="1" allowOverlap="1" wp14:anchorId="5D7C5D02" wp14:editId="4C5A7F40">
                <wp:simplePos x="0" y="0"/>
                <wp:positionH relativeFrom="margin">
                  <wp:align>left</wp:align>
                </wp:positionH>
                <wp:positionV relativeFrom="paragraph">
                  <wp:posOffset>13970</wp:posOffset>
                </wp:positionV>
                <wp:extent cx="1828800" cy="2352675"/>
                <wp:effectExtent l="0" t="0" r="0" b="9525"/>
                <wp:wrapNone/>
                <wp:docPr id="215451614" name="Cuadro de texto 1"/>
                <wp:cNvGraphicFramePr/>
                <a:graphic xmlns:a="http://schemas.openxmlformats.org/drawingml/2006/main">
                  <a:graphicData uri="http://schemas.microsoft.com/office/word/2010/wordprocessingShape">
                    <wps:wsp>
                      <wps:cNvSpPr txBox="1"/>
                      <wps:spPr>
                        <a:xfrm>
                          <a:off x="0" y="0"/>
                          <a:ext cx="1828800" cy="2352675"/>
                        </a:xfrm>
                        <a:prstGeom prst="rect">
                          <a:avLst/>
                        </a:prstGeom>
                        <a:noFill/>
                        <a:ln>
                          <a:noFill/>
                        </a:ln>
                      </wps:spPr>
                      <wps:txbx>
                        <w:txbxContent>
                          <w:p w14:paraId="3C11767E" w14:textId="77777777" w:rsidR="00B651A2" w:rsidRPr="00B651A2" w:rsidRDefault="00B651A2" w:rsidP="00B651A2">
                            <w:pPr>
                              <w:spacing w:line="276" w:lineRule="auto"/>
                              <w:jc w:val="center"/>
                              <w:rPr>
                                <w:rFonts w:ascii="Avenir Medium" w:eastAsia="Museo Sans 300" w:hAnsi="Avenir Medium" w:cs="Museo Sans 300"/>
                                <w:b/>
                                <w:bCs/>
                                <w:color w:val="156082" w:themeColor="accent1"/>
                                <w:sz w:val="62"/>
                                <w:szCs w:val="6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651A2">
                              <w:rPr>
                                <w:rFonts w:ascii="Avenir Medium" w:eastAsia="Museo Sans 300" w:hAnsi="Avenir Medium" w:cs="Museo Sans 300"/>
                                <w:b/>
                                <w:bCs/>
                                <w:color w:val="156082" w:themeColor="accent1"/>
                                <w:sz w:val="62"/>
                                <w:szCs w:val="6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IAM Avanzado y Zero Trust – Plataforma de Gestión de Identidades y Acceso Seguro en la Nube</w:t>
                            </w:r>
                          </w:p>
                          <w:p w14:paraId="4E46A1F1" w14:textId="0FEE17BD" w:rsidR="00B651A2" w:rsidRPr="00B651A2" w:rsidRDefault="00B651A2" w:rsidP="00B651A2">
                            <w:pPr>
                              <w:spacing w:line="276" w:lineRule="auto"/>
                              <w:jc w:val="center"/>
                              <w:rPr>
                                <w:rFonts w:ascii="Avenir Medium" w:eastAsia="Museo Sans 300" w:hAnsi="Avenir Medium" w:cs="Museo Sans 300"/>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5D7C5D02" id="_x0000_t202" coordsize="21600,21600" o:spt="202" path="m,l,21600r21600,l21600,xe">
                <v:stroke joinstyle="miter"/>
                <v:path gradientshapeok="t" o:connecttype="rect"/>
              </v:shapetype>
              <v:shape id="Cuadro de texto 1" o:spid="_x0000_s1026" type="#_x0000_t202" style="position:absolute;left:0;text-align:left;margin-left:0;margin-top:1.1pt;width:2in;height:185.25pt;z-index:251659264;visibility:visible;mso-wrap-style:none;mso-height-percent:0;mso-wrap-distance-left:9pt;mso-wrap-distance-top:0;mso-wrap-distance-right:9pt;mso-wrap-distance-bottom:0;mso-position-horizontal:left;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" filled="f" stroked="f">
                <v:textbox>
                  <w:txbxContent>
                    <w:p w14:paraId="3C11767E" w14:textId="77777777" w:rsidR="00B651A2" w:rsidRPr="00B651A2" w:rsidRDefault="00B651A2" w:rsidP="00B651A2">
                      <w:pPr>
                        <w:spacing w:line="276" w:lineRule="auto"/>
                        <w:jc w:val="center"/>
                        <w:rPr>
                          <w:rFonts w:ascii="Avenir Medium" w:eastAsia="Museo Sans 300" w:hAnsi="Avenir Medium" w:cs="Museo Sans 300"/>
                          <w:b/>
                          <w:bCs/>
                          <w:color w:val="156082" w:themeColor="accent1"/>
                          <w:sz w:val="62"/>
                          <w:szCs w:val="6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r w:rsidRPr="00B651A2">
                        <w:rPr>
                          <w:rFonts w:ascii="Avenir Medium" w:eastAsia="Museo Sans 300" w:hAnsi="Avenir Medium" w:cs="Museo Sans 300"/>
                          <w:b/>
                          <w:bCs/>
                          <w:color w:val="156082" w:themeColor="accent1"/>
                          <w:sz w:val="62"/>
                          <w:szCs w:val="6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t>IAM Avanzado y Zero Trust – Plataforma de Gestión de Identidades y Acceso Seguro en la Nube</w:t>
                      </w:r>
                    </w:p>
                    <w:p w14:paraId="4E46A1F1" w14:textId="0FEE17BD" w:rsidR="00B651A2" w:rsidRPr="00B651A2" w:rsidRDefault="00B651A2" w:rsidP="00B651A2">
                      <w:pPr>
                        <w:spacing w:line="276" w:lineRule="auto"/>
                        <w:jc w:val="center"/>
                        <w:rPr>
                          <w:rFonts w:ascii="Avenir Medium" w:eastAsia="Museo Sans 300" w:hAnsi="Avenir Medium" w:cs="Museo Sans 300"/>
                          <w:color w:val="156082" w:themeColor="accent1"/>
                          <w:sz w:val="72"/>
                          <w:szCs w:val="72"/>
                          <w14:shadow w14:blurRad="38100" w14:dist="25400" w14:dir="5400000" w14:sx="100000" w14:sy="100000" w14:kx="0" w14:ky="0" w14:algn="ctr">
                            <w14:srgbClr w14:val="6E747A">
                              <w14:alpha w14:val="57000"/>
                            </w14:srgbClr>
                          </w14:shadow>
                          <w14:textOutline w14:w="0" w14:cap="flat" w14:cmpd="sng" w14:algn="ctr">
                            <w14:noFill/>
                            <w14:prstDash w14:val="solid"/>
                            <w14:round/>
                          </w14:textOutline>
                        </w:rPr>
                      </w:pPr>
                    </w:p>
                  </w:txbxContent>
                </v:textbox>
                <w10:wrap anchorx="margin"/>
              </v:shape>
            </w:pict>
          </mc:Fallback>
        </mc:AlternateContent>
      </w:r>
    </w:p>
    <w:p w14:paraId="2667BB62" w14:textId="67863C4A" w:rsidR="005A3164" w:rsidRPr="00E32A7A" w:rsidRDefault="005A3164" w:rsidP="00C47B31">
      <w:pPr>
        <w:spacing w:line="276" w:lineRule="auto"/>
        <w:rPr>
          <w:rFonts w:ascii="Arial" w:eastAsia="Museo Sans 300" w:hAnsi="Arial" w:cs="Arial"/>
          <w:color w:val="3A3A3A" w:themeColor="background2" w:themeShade="40"/>
          <w:sz w:val="22"/>
          <w:szCs w:val="22"/>
        </w:rPr>
      </w:pPr>
    </w:p>
    <w:p w14:paraId="7DB18C80" w14:textId="77777777" w:rsidR="00B651A2" w:rsidRPr="00E32A7A" w:rsidRDefault="00B651A2" w:rsidP="00B651A2">
      <w:pPr>
        <w:rPr>
          <w:rFonts w:ascii="Arial" w:eastAsia="Museo Sans 300" w:hAnsi="Arial" w:cs="Arial"/>
          <w:sz w:val="22"/>
          <w:szCs w:val="22"/>
        </w:rPr>
      </w:pPr>
    </w:p>
    <w:p w14:paraId="728F8E3E" w14:textId="77777777" w:rsidR="00B651A2" w:rsidRPr="00E32A7A" w:rsidRDefault="00B651A2" w:rsidP="00B651A2">
      <w:pPr>
        <w:rPr>
          <w:rFonts w:ascii="Arial" w:eastAsia="Museo Sans 300" w:hAnsi="Arial" w:cs="Arial"/>
          <w:sz w:val="22"/>
          <w:szCs w:val="22"/>
        </w:rPr>
      </w:pPr>
    </w:p>
    <w:p w14:paraId="1FE44740" w14:textId="77777777" w:rsidR="00B651A2" w:rsidRPr="00E32A7A" w:rsidRDefault="00B651A2" w:rsidP="00B651A2">
      <w:pPr>
        <w:rPr>
          <w:rFonts w:ascii="Arial" w:eastAsia="Museo Sans 300" w:hAnsi="Arial" w:cs="Arial"/>
          <w:sz w:val="22"/>
          <w:szCs w:val="22"/>
        </w:rPr>
      </w:pPr>
    </w:p>
    <w:p w14:paraId="4FCCD0BF" w14:textId="77777777" w:rsidR="00B651A2" w:rsidRPr="00E32A7A" w:rsidRDefault="00B651A2" w:rsidP="00B651A2">
      <w:pPr>
        <w:rPr>
          <w:rFonts w:ascii="Arial" w:eastAsia="Museo Sans 300" w:hAnsi="Arial" w:cs="Arial"/>
          <w:sz w:val="22"/>
          <w:szCs w:val="22"/>
        </w:rPr>
      </w:pPr>
    </w:p>
    <w:p w14:paraId="2F701CC0" w14:textId="77777777" w:rsidR="00B651A2" w:rsidRPr="00E32A7A" w:rsidRDefault="00B651A2" w:rsidP="00B651A2">
      <w:pPr>
        <w:rPr>
          <w:rFonts w:ascii="Arial" w:eastAsia="Museo Sans 300" w:hAnsi="Arial" w:cs="Arial"/>
          <w:sz w:val="22"/>
          <w:szCs w:val="22"/>
        </w:rPr>
      </w:pPr>
    </w:p>
    <w:p w14:paraId="0DBF3AD8" w14:textId="77777777" w:rsidR="00B651A2" w:rsidRPr="00E32A7A" w:rsidRDefault="00B651A2" w:rsidP="00B651A2">
      <w:pPr>
        <w:rPr>
          <w:rFonts w:ascii="Arial" w:eastAsia="Museo Sans 300" w:hAnsi="Arial" w:cs="Arial"/>
          <w:sz w:val="22"/>
          <w:szCs w:val="22"/>
        </w:rPr>
      </w:pPr>
    </w:p>
    <w:p w14:paraId="687A5EB0" w14:textId="77777777" w:rsidR="00B651A2" w:rsidRPr="00E32A7A" w:rsidRDefault="00B651A2" w:rsidP="00B651A2">
      <w:pPr>
        <w:rPr>
          <w:rFonts w:ascii="Arial" w:eastAsia="Museo Sans 300" w:hAnsi="Arial" w:cs="Arial"/>
          <w:sz w:val="22"/>
          <w:szCs w:val="22"/>
        </w:rPr>
      </w:pPr>
    </w:p>
    <w:p w14:paraId="5247E2AE" w14:textId="77777777" w:rsidR="00B651A2" w:rsidRPr="00E32A7A" w:rsidRDefault="00B651A2" w:rsidP="00B651A2">
      <w:pPr>
        <w:rPr>
          <w:rFonts w:ascii="Arial" w:eastAsia="Museo Sans 300" w:hAnsi="Arial" w:cs="Arial"/>
          <w:sz w:val="22"/>
          <w:szCs w:val="22"/>
        </w:rPr>
      </w:pPr>
    </w:p>
    <w:p w14:paraId="0B37FD8D" w14:textId="77777777" w:rsidR="00B651A2" w:rsidRPr="00E32A7A" w:rsidRDefault="00B651A2" w:rsidP="00B651A2">
      <w:pPr>
        <w:rPr>
          <w:rFonts w:ascii="Arial" w:eastAsia="Museo Sans 300" w:hAnsi="Arial" w:cs="Arial"/>
          <w:sz w:val="22"/>
          <w:szCs w:val="22"/>
        </w:rPr>
      </w:pPr>
    </w:p>
    <w:p w14:paraId="6499C2D5" w14:textId="77777777" w:rsidR="00B651A2" w:rsidRPr="00E32A7A" w:rsidRDefault="00B651A2" w:rsidP="00B651A2">
      <w:pPr>
        <w:rPr>
          <w:rFonts w:ascii="Arial" w:eastAsia="Museo Sans 300" w:hAnsi="Arial" w:cs="Arial"/>
          <w:sz w:val="22"/>
          <w:szCs w:val="22"/>
        </w:rPr>
      </w:pPr>
    </w:p>
    <w:p w14:paraId="641BD8DE" w14:textId="77777777" w:rsidR="00B651A2" w:rsidRPr="00E32A7A" w:rsidRDefault="00B651A2" w:rsidP="00B651A2">
      <w:pPr>
        <w:rPr>
          <w:rFonts w:ascii="Arial" w:eastAsia="Museo Sans 300" w:hAnsi="Arial" w:cs="Arial"/>
          <w:sz w:val="22"/>
          <w:szCs w:val="22"/>
        </w:rPr>
      </w:pPr>
    </w:p>
    <w:p w14:paraId="27BF5C02" w14:textId="77777777" w:rsidR="00B651A2" w:rsidRPr="00E32A7A" w:rsidRDefault="00B651A2" w:rsidP="00B651A2">
      <w:pPr>
        <w:rPr>
          <w:rFonts w:ascii="Arial" w:eastAsia="Museo Sans 300" w:hAnsi="Arial" w:cs="Arial"/>
          <w:sz w:val="22"/>
          <w:szCs w:val="22"/>
        </w:rPr>
      </w:pPr>
    </w:p>
    <w:p w14:paraId="0211DDDA" w14:textId="77777777" w:rsidR="00B651A2" w:rsidRPr="00E32A7A" w:rsidRDefault="00B651A2" w:rsidP="00B651A2">
      <w:pPr>
        <w:rPr>
          <w:rFonts w:ascii="Arial" w:eastAsia="Museo Sans 300" w:hAnsi="Arial" w:cs="Arial"/>
          <w:sz w:val="22"/>
          <w:szCs w:val="22"/>
        </w:rPr>
      </w:pPr>
    </w:p>
    <w:p w14:paraId="6B0734AC" w14:textId="77777777" w:rsidR="00B651A2" w:rsidRPr="00E32A7A" w:rsidRDefault="00B651A2" w:rsidP="00B651A2">
      <w:pPr>
        <w:rPr>
          <w:rFonts w:ascii="Arial" w:eastAsia="Museo Sans 300" w:hAnsi="Arial" w:cs="Arial"/>
          <w:sz w:val="22"/>
          <w:szCs w:val="22"/>
        </w:rPr>
      </w:pPr>
    </w:p>
    <w:p w14:paraId="5D20431C" w14:textId="77777777" w:rsidR="00B651A2" w:rsidRPr="00E32A7A" w:rsidRDefault="00B651A2" w:rsidP="00B651A2">
      <w:pPr>
        <w:rPr>
          <w:rFonts w:ascii="Arial" w:eastAsia="Museo Sans 300" w:hAnsi="Arial" w:cs="Arial"/>
          <w:sz w:val="22"/>
          <w:szCs w:val="22"/>
        </w:rPr>
      </w:pPr>
    </w:p>
    <w:p w14:paraId="6605CDEC" w14:textId="77777777" w:rsidR="00B651A2" w:rsidRPr="00E32A7A" w:rsidRDefault="00B651A2" w:rsidP="00B651A2">
      <w:pPr>
        <w:rPr>
          <w:rFonts w:ascii="Arial" w:eastAsia="Museo Sans 300" w:hAnsi="Arial" w:cs="Arial"/>
          <w:color w:val="3A3A3A" w:themeColor="background2" w:themeShade="40"/>
          <w:sz w:val="22"/>
          <w:szCs w:val="22"/>
        </w:rPr>
      </w:pPr>
    </w:p>
    <w:p w14:paraId="3C4C3E9E" w14:textId="0D788EAA" w:rsidR="00B651A2" w:rsidRPr="00E32A7A" w:rsidRDefault="00B651A2" w:rsidP="00B651A2">
      <w:pPr>
        <w:rPr>
          <w:rFonts w:ascii="Arial" w:eastAsia="Museo Sans 300" w:hAnsi="Arial" w:cs="Arial"/>
          <w:b/>
          <w:bCs/>
          <w:color w:val="153D63" w:themeColor="text2" w:themeTint="E6"/>
          <w:sz w:val="28"/>
          <w:szCs w:val="28"/>
        </w:rPr>
      </w:pPr>
      <w:r w:rsidRPr="00E32A7A">
        <w:rPr>
          <w:rFonts w:ascii="Arial" w:eastAsia="Museo Sans 300" w:hAnsi="Arial" w:cs="Arial"/>
          <w:b/>
          <w:bCs/>
          <w:color w:val="153D63" w:themeColor="text2" w:themeTint="E6"/>
          <w:sz w:val="28"/>
          <w:szCs w:val="28"/>
        </w:rPr>
        <w:t>Fase</w:t>
      </w:r>
      <w:r w:rsidR="007324EF">
        <w:rPr>
          <w:rFonts w:ascii="Arial" w:eastAsia="Museo Sans 300" w:hAnsi="Arial" w:cs="Arial"/>
          <w:b/>
          <w:bCs/>
          <w:color w:val="153D63" w:themeColor="text2" w:themeTint="E6"/>
          <w:sz w:val="28"/>
          <w:szCs w:val="28"/>
        </w:rPr>
        <w:t xml:space="preserve">: </w:t>
      </w:r>
      <w:r w:rsidRPr="00E32A7A">
        <w:rPr>
          <w:rFonts w:ascii="Arial" w:eastAsia="Museo Sans 300" w:hAnsi="Arial" w:cs="Arial"/>
          <w:b/>
          <w:bCs/>
          <w:color w:val="153D63" w:themeColor="text2" w:themeTint="E6"/>
          <w:sz w:val="28"/>
          <w:szCs w:val="28"/>
        </w:rPr>
        <w:t xml:space="preserve"> </w:t>
      </w:r>
      <w:r w:rsidR="00601C7C">
        <w:rPr>
          <w:rFonts w:ascii="Arial" w:eastAsia="Museo Sans 300" w:hAnsi="Arial" w:cs="Arial"/>
          <w:sz w:val="28"/>
          <w:szCs w:val="28"/>
        </w:rPr>
        <w:t>1</w:t>
      </w:r>
      <w:r w:rsidRPr="007324EF">
        <w:rPr>
          <w:rFonts w:ascii="Arial" w:eastAsia="Museo Sans 300" w:hAnsi="Arial" w:cs="Arial"/>
          <w:sz w:val="28"/>
          <w:szCs w:val="28"/>
        </w:rPr>
        <w:t xml:space="preserve"> – </w:t>
      </w:r>
      <w:r w:rsidR="00425922">
        <w:rPr>
          <w:rFonts w:ascii="Arial" w:eastAsia="Museo Sans 300" w:hAnsi="Arial" w:cs="Arial"/>
          <w:sz w:val="28"/>
          <w:szCs w:val="28"/>
        </w:rPr>
        <w:t>Identificacion de recursos críticos a proteger y dependencias técnicas.</w:t>
      </w:r>
    </w:p>
    <w:p w14:paraId="540B0811" w14:textId="77777777" w:rsidR="00B651A2" w:rsidRPr="00E32A7A" w:rsidRDefault="00B651A2" w:rsidP="00B651A2">
      <w:pPr>
        <w:rPr>
          <w:rFonts w:ascii="Arial" w:eastAsia="Museo Sans 300" w:hAnsi="Arial" w:cs="Arial"/>
          <w:color w:val="153D63" w:themeColor="text2" w:themeTint="E6"/>
          <w:sz w:val="28"/>
          <w:szCs w:val="28"/>
        </w:rPr>
      </w:pPr>
      <w:r w:rsidRPr="00E32A7A">
        <w:rPr>
          <w:rFonts w:ascii="Arial" w:eastAsia="Museo Sans 300" w:hAnsi="Arial" w:cs="Arial"/>
          <w:b/>
          <w:bCs/>
          <w:color w:val="153D63" w:themeColor="text2" w:themeTint="E6"/>
          <w:sz w:val="28"/>
          <w:szCs w:val="28"/>
        </w:rPr>
        <w:t>Equipo:</w:t>
      </w:r>
      <w:r w:rsidRPr="00E32A7A">
        <w:rPr>
          <w:rFonts w:ascii="Arial" w:eastAsia="Museo Sans 300" w:hAnsi="Arial" w:cs="Arial"/>
          <w:color w:val="153D63" w:themeColor="text2" w:themeTint="E6"/>
          <w:sz w:val="28"/>
          <w:szCs w:val="28"/>
        </w:rPr>
        <w:t xml:space="preserve"> </w:t>
      </w:r>
      <w:r w:rsidRPr="00E32A7A">
        <w:rPr>
          <w:rFonts w:ascii="Arial" w:eastAsia="Museo Sans 300" w:hAnsi="Arial" w:cs="Arial"/>
          <w:sz w:val="28"/>
          <w:szCs w:val="28"/>
        </w:rPr>
        <w:t>Grupo SN-6</w:t>
      </w:r>
    </w:p>
    <w:p w14:paraId="464157C1" w14:textId="195078F9" w:rsidR="00B651A2" w:rsidRPr="00E32A7A" w:rsidRDefault="00B651A2" w:rsidP="00B651A2">
      <w:pPr>
        <w:rPr>
          <w:rFonts w:ascii="Arial" w:eastAsia="Museo Sans 300" w:hAnsi="Arial" w:cs="Arial"/>
          <w:color w:val="153D63" w:themeColor="text2" w:themeTint="E6"/>
          <w:sz w:val="28"/>
          <w:szCs w:val="28"/>
        </w:rPr>
      </w:pPr>
      <w:r w:rsidRPr="00E32A7A">
        <w:rPr>
          <w:rFonts w:ascii="Arial" w:eastAsia="Museo Sans 300" w:hAnsi="Arial" w:cs="Arial"/>
          <w:b/>
          <w:bCs/>
          <w:color w:val="153D63" w:themeColor="text2" w:themeTint="E6"/>
          <w:sz w:val="28"/>
          <w:szCs w:val="28"/>
        </w:rPr>
        <w:t>Fecha de Entrega:</w:t>
      </w:r>
      <w:r w:rsidRPr="00E32A7A">
        <w:rPr>
          <w:rFonts w:ascii="Arial" w:eastAsia="Museo Sans 300" w:hAnsi="Arial" w:cs="Arial"/>
          <w:color w:val="153D63" w:themeColor="text2" w:themeTint="E6"/>
          <w:sz w:val="28"/>
          <w:szCs w:val="28"/>
        </w:rPr>
        <w:t xml:space="preserve"> </w:t>
      </w:r>
      <w:r w:rsidR="00111775">
        <w:rPr>
          <w:rFonts w:ascii="Arial" w:eastAsia="Museo Sans 300" w:hAnsi="Arial" w:cs="Arial"/>
          <w:sz w:val="28"/>
          <w:szCs w:val="28"/>
        </w:rPr>
        <w:t>26</w:t>
      </w:r>
      <w:r w:rsidRPr="00E32A7A">
        <w:rPr>
          <w:rFonts w:ascii="Arial" w:eastAsia="Museo Sans 300" w:hAnsi="Arial" w:cs="Arial"/>
          <w:sz w:val="28"/>
          <w:szCs w:val="28"/>
        </w:rPr>
        <w:t xml:space="preserve"> de junio de 2026</w:t>
      </w:r>
    </w:p>
    <w:p w14:paraId="7C8F085A" w14:textId="77777777" w:rsidR="00B651A2" w:rsidRPr="00E32A7A" w:rsidRDefault="00B651A2" w:rsidP="00B651A2">
      <w:pPr>
        <w:rPr>
          <w:rFonts w:ascii="Arial" w:eastAsia="Museo Sans 300" w:hAnsi="Arial" w:cs="Arial"/>
          <w:color w:val="153D63" w:themeColor="text2" w:themeTint="E6"/>
          <w:sz w:val="28"/>
          <w:szCs w:val="28"/>
        </w:rPr>
      </w:pPr>
    </w:p>
    <w:p w14:paraId="31E18CD3" w14:textId="77777777" w:rsidR="00B651A2" w:rsidRPr="00E32A7A" w:rsidRDefault="00B651A2" w:rsidP="00B651A2">
      <w:pPr>
        <w:rPr>
          <w:rFonts w:ascii="Arial" w:eastAsia="Museo Sans 300" w:hAnsi="Arial" w:cs="Arial"/>
          <w:color w:val="153D63" w:themeColor="text2" w:themeTint="E6"/>
          <w:sz w:val="28"/>
          <w:szCs w:val="28"/>
        </w:rPr>
      </w:pPr>
    </w:p>
    <w:p w14:paraId="4A6973A8" w14:textId="77777777" w:rsidR="007324EF" w:rsidRDefault="007324EF" w:rsidP="00B651A2">
      <w:pPr>
        <w:rPr>
          <w:rFonts w:ascii="Arial" w:eastAsia="Museo Sans 300" w:hAnsi="Arial" w:cs="Arial"/>
          <w:b/>
          <w:bCs/>
          <w:color w:val="153D63" w:themeColor="text2" w:themeTint="E6"/>
          <w:sz w:val="28"/>
          <w:szCs w:val="28"/>
        </w:rPr>
      </w:pPr>
    </w:p>
    <w:p w14:paraId="30585867" w14:textId="77777777" w:rsidR="007324EF" w:rsidRDefault="007324EF" w:rsidP="00B651A2">
      <w:pPr>
        <w:rPr>
          <w:rFonts w:ascii="Arial" w:eastAsia="Museo Sans 300" w:hAnsi="Arial" w:cs="Arial"/>
          <w:b/>
          <w:bCs/>
          <w:color w:val="153D63" w:themeColor="text2" w:themeTint="E6"/>
          <w:sz w:val="28"/>
          <w:szCs w:val="28"/>
        </w:rPr>
      </w:pPr>
    </w:p>
    <w:p w14:paraId="6F247B46" w14:textId="4A86CC4C" w:rsidR="00B651A2" w:rsidRPr="00E32A7A" w:rsidRDefault="00B651A2" w:rsidP="00B651A2">
      <w:pPr>
        <w:rPr>
          <w:rFonts w:ascii="Arial" w:eastAsia="Museo Sans 300" w:hAnsi="Arial" w:cs="Arial"/>
          <w:b/>
          <w:bCs/>
          <w:color w:val="153D63" w:themeColor="text2" w:themeTint="E6"/>
          <w:sz w:val="28"/>
          <w:szCs w:val="28"/>
        </w:rPr>
      </w:pPr>
      <w:r w:rsidRPr="00E32A7A">
        <w:rPr>
          <w:rFonts w:ascii="Arial" w:eastAsia="Museo Sans 300" w:hAnsi="Arial" w:cs="Arial"/>
          <w:b/>
          <w:bCs/>
          <w:color w:val="153D63" w:themeColor="text2" w:themeTint="E6"/>
          <w:sz w:val="28"/>
          <w:szCs w:val="28"/>
        </w:rPr>
        <w:t>Integrantes y Roles</w:t>
      </w:r>
    </w:p>
    <w:p w14:paraId="39388632" w14:textId="77777777" w:rsidR="00B651A2" w:rsidRPr="00E32A7A" w:rsidRDefault="00B651A2" w:rsidP="00B651A2">
      <w:pPr>
        <w:rPr>
          <w:rFonts w:ascii="Arial" w:eastAsia="Museo Sans 300" w:hAnsi="Arial" w:cs="Arial"/>
          <w:b/>
          <w:bCs/>
          <w:color w:val="153D63" w:themeColor="text2" w:themeTint="E6"/>
          <w:sz w:val="28"/>
          <w:szCs w:val="28"/>
        </w:rPr>
      </w:pPr>
    </w:p>
    <w:tbl>
      <w:tblPr>
        <w:tblStyle w:val="TableGrid"/>
        <w:tblW w:w="9924" w:type="dxa"/>
        <w:tblInd w:w="-431" w:type="dxa"/>
        <w:tblLook w:val="04A0" w:firstRow="1" w:lastRow="0" w:firstColumn="1" w:lastColumn="0" w:noHBand="0" w:noVBand="1"/>
      </w:tblPr>
      <w:tblGrid>
        <w:gridCol w:w="4254"/>
        <w:gridCol w:w="5670"/>
      </w:tblGrid>
      <w:tr w:rsidR="00B651A2" w:rsidRPr="00E32A7A" w14:paraId="620A46CA" w14:textId="77777777" w:rsidTr="00B651A2">
        <w:tc>
          <w:tcPr>
            <w:tcW w:w="4254" w:type="dxa"/>
            <w:shd w:val="clear" w:color="auto" w:fill="153D63" w:themeFill="text2" w:themeFillTint="E6"/>
            <w:hideMark/>
          </w:tcPr>
          <w:p w14:paraId="659A225D" w14:textId="77777777" w:rsidR="00B651A2" w:rsidRPr="00E32A7A" w:rsidRDefault="00B651A2" w:rsidP="00B651A2">
            <w:pPr>
              <w:jc w:val="center"/>
              <w:rPr>
                <w:rFonts w:ascii="Arial" w:eastAsia="Museo Sans 300" w:hAnsi="Arial" w:cs="Arial"/>
                <w:b/>
                <w:bCs/>
                <w:color w:val="FFFFFF" w:themeColor="background1"/>
                <w:sz w:val="28"/>
                <w:szCs w:val="28"/>
              </w:rPr>
            </w:pPr>
            <w:r w:rsidRPr="00E32A7A">
              <w:rPr>
                <w:rFonts w:ascii="Arial" w:eastAsia="Museo Sans 300" w:hAnsi="Arial" w:cs="Arial"/>
                <w:b/>
                <w:bCs/>
                <w:color w:val="FFFFFF" w:themeColor="background1"/>
                <w:sz w:val="28"/>
                <w:szCs w:val="28"/>
              </w:rPr>
              <w:t>Integrante</w:t>
            </w:r>
          </w:p>
        </w:tc>
        <w:tc>
          <w:tcPr>
            <w:tcW w:w="5670" w:type="dxa"/>
            <w:shd w:val="clear" w:color="auto" w:fill="153D63" w:themeFill="text2" w:themeFillTint="E6"/>
            <w:hideMark/>
          </w:tcPr>
          <w:p w14:paraId="65254664" w14:textId="77777777" w:rsidR="00B651A2" w:rsidRPr="00E32A7A" w:rsidRDefault="00B651A2" w:rsidP="00B651A2">
            <w:pPr>
              <w:jc w:val="center"/>
              <w:rPr>
                <w:rFonts w:ascii="Arial" w:eastAsia="Museo Sans 300" w:hAnsi="Arial" w:cs="Arial"/>
                <w:b/>
                <w:bCs/>
                <w:color w:val="FFFFFF" w:themeColor="background1"/>
                <w:sz w:val="28"/>
                <w:szCs w:val="28"/>
              </w:rPr>
            </w:pPr>
            <w:r w:rsidRPr="00E32A7A">
              <w:rPr>
                <w:rFonts w:ascii="Arial" w:eastAsia="Museo Sans 300" w:hAnsi="Arial" w:cs="Arial"/>
                <w:b/>
                <w:bCs/>
                <w:color w:val="FFFFFF" w:themeColor="background1"/>
                <w:sz w:val="28"/>
                <w:szCs w:val="28"/>
              </w:rPr>
              <w:t>Rol</w:t>
            </w:r>
          </w:p>
        </w:tc>
      </w:tr>
      <w:tr w:rsidR="00B651A2" w:rsidRPr="00E32A7A" w14:paraId="6C821F89" w14:textId="77777777" w:rsidTr="00B651A2">
        <w:tc>
          <w:tcPr>
            <w:tcW w:w="4254" w:type="dxa"/>
            <w:hideMark/>
          </w:tcPr>
          <w:p w14:paraId="3F4A92C4" w14:textId="77777777" w:rsidR="00B651A2" w:rsidRPr="00E32A7A" w:rsidRDefault="00B651A2" w:rsidP="00B651A2">
            <w:pPr>
              <w:rPr>
                <w:rFonts w:ascii="Arial" w:eastAsia="Museo Sans 300" w:hAnsi="Arial" w:cs="Arial"/>
              </w:rPr>
            </w:pPr>
            <w:r w:rsidRPr="00E32A7A">
              <w:rPr>
                <w:rFonts w:ascii="Arial" w:eastAsia="Museo Sans 300" w:hAnsi="Arial" w:cs="Arial"/>
              </w:rPr>
              <w:t>Neldy Liliana Hernandez Huezo</w:t>
            </w:r>
          </w:p>
        </w:tc>
        <w:tc>
          <w:tcPr>
            <w:tcW w:w="5670" w:type="dxa"/>
            <w:hideMark/>
          </w:tcPr>
          <w:p w14:paraId="2AED4BCF" w14:textId="77777777" w:rsidR="00B651A2" w:rsidRPr="00E32A7A" w:rsidRDefault="00B651A2" w:rsidP="00B651A2">
            <w:pPr>
              <w:rPr>
                <w:rFonts w:ascii="Arial" w:eastAsia="Museo Sans 300" w:hAnsi="Arial" w:cs="Arial"/>
              </w:rPr>
            </w:pPr>
            <w:r w:rsidRPr="00E32A7A">
              <w:rPr>
                <w:rFonts w:ascii="Arial" w:eastAsia="Museo Sans 300" w:hAnsi="Arial" w:cs="Arial"/>
              </w:rPr>
              <w:t>Líder de Proyecto Jr.</w:t>
            </w:r>
          </w:p>
        </w:tc>
      </w:tr>
      <w:tr w:rsidR="00B651A2" w:rsidRPr="00E32A7A" w14:paraId="1869A598" w14:textId="77777777" w:rsidTr="00B651A2">
        <w:tc>
          <w:tcPr>
            <w:tcW w:w="4254" w:type="dxa"/>
            <w:hideMark/>
          </w:tcPr>
          <w:p w14:paraId="5700B4B8" w14:textId="77777777" w:rsidR="00B651A2" w:rsidRPr="00E32A7A" w:rsidRDefault="00B651A2" w:rsidP="00B651A2">
            <w:pPr>
              <w:rPr>
                <w:rFonts w:ascii="Arial" w:eastAsia="Museo Sans 300" w:hAnsi="Arial" w:cs="Arial"/>
              </w:rPr>
            </w:pPr>
            <w:r w:rsidRPr="00E32A7A">
              <w:rPr>
                <w:rFonts w:ascii="Arial" w:eastAsia="Museo Sans 300" w:hAnsi="Arial" w:cs="Arial"/>
              </w:rPr>
              <w:t>Luis Fernando Sánchez Barrera</w:t>
            </w:r>
          </w:p>
        </w:tc>
        <w:tc>
          <w:tcPr>
            <w:tcW w:w="5670" w:type="dxa"/>
            <w:hideMark/>
          </w:tcPr>
          <w:p w14:paraId="5121CAB0" w14:textId="77777777" w:rsidR="00B651A2" w:rsidRPr="00E32A7A" w:rsidRDefault="00B651A2" w:rsidP="00B651A2">
            <w:pPr>
              <w:rPr>
                <w:rFonts w:ascii="Arial" w:eastAsia="Museo Sans 300" w:hAnsi="Arial" w:cs="Arial"/>
              </w:rPr>
            </w:pPr>
            <w:r w:rsidRPr="00E32A7A">
              <w:rPr>
                <w:rFonts w:ascii="Arial" w:eastAsia="Museo Sans 300" w:hAnsi="Arial" w:cs="Arial"/>
              </w:rPr>
              <w:t>Ingeniero IAM Jr.</w:t>
            </w:r>
          </w:p>
        </w:tc>
      </w:tr>
      <w:tr w:rsidR="00B651A2" w:rsidRPr="00E32A7A" w14:paraId="3B02C90D" w14:textId="77777777" w:rsidTr="00B651A2">
        <w:tc>
          <w:tcPr>
            <w:tcW w:w="4254" w:type="dxa"/>
            <w:hideMark/>
          </w:tcPr>
          <w:p w14:paraId="28028206" w14:textId="77777777" w:rsidR="00B651A2" w:rsidRPr="00E32A7A" w:rsidRDefault="00B651A2" w:rsidP="00B651A2">
            <w:pPr>
              <w:rPr>
                <w:rFonts w:ascii="Arial" w:eastAsia="Museo Sans 300" w:hAnsi="Arial" w:cs="Arial"/>
              </w:rPr>
            </w:pPr>
            <w:r w:rsidRPr="00E32A7A">
              <w:rPr>
                <w:rFonts w:ascii="Arial" w:eastAsia="Museo Sans 300" w:hAnsi="Arial" w:cs="Arial"/>
              </w:rPr>
              <w:t>Danny Medardo Moreno Martínez</w:t>
            </w:r>
          </w:p>
        </w:tc>
        <w:tc>
          <w:tcPr>
            <w:tcW w:w="5670" w:type="dxa"/>
            <w:hideMark/>
          </w:tcPr>
          <w:p w14:paraId="0342F6CD" w14:textId="77777777" w:rsidR="00B651A2" w:rsidRPr="00E32A7A" w:rsidRDefault="00B651A2" w:rsidP="00B651A2">
            <w:pPr>
              <w:rPr>
                <w:rFonts w:ascii="Arial" w:eastAsia="Museo Sans 300" w:hAnsi="Arial" w:cs="Arial"/>
              </w:rPr>
            </w:pPr>
            <w:r w:rsidRPr="00E32A7A">
              <w:rPr>
                <w:rFonts w:ascii="Arial" w:eastAsia="Museo Sans 300" w:hAnsi="Arial" w:cs="Arial"/>
              </w:rPr>
              <w:t>Ingeniero Cloud / Backend Jr.</w:t>
            </w:r>
          </w:p>
        </w:tc>
      </w:tr>
      <w:tr w:rsidR="00B651A2" w:rsidRPr="00E32A7A" w14:paraId="5E28BB35" w14:textId="77777777" w:rsidTr="00B651A2">
        <w:tc>
          <w:tcPr>
            <w:tcW w:w="4254" w:type="dxa"/>
            <w:hideMark/>
          </w:tcPr>
          <w:p w14:paraId="74E7C280" w14:textId="77777777" w:rsidR="00B651A2" w:rsidRPr="00E32A7A" w:rsidRDefault="00B651A2" w:rsidP="00B651A2">
            <w:pPr>
              <w:rPr>
                <w:rFonts w:ascii="Arial" w:eastAsia="Museo Sans 300" w:hAnsi="Arial" w:cs="Arial"/>
              </w:rPr>
            </w:pPr>
            <w:r w:rsidRPr="00E32A7A">
              <w:rPr>
                <w:rFonts w:ascii="Arial" w:eastAsia="Museo Sans 300" w:hAnsi="Arial" w:cs="Arial"/>
              </w:rPr>
              <w:t>Iván Alexander Palacios Hernández</w:t>
            </w:r>
          </w:p>
        </w:tc>
        <w:tc>
          <w:tcPr>
            <w:tcW w:w="5670" w:type="dxa"/>
            <w:hideMark/>
          </w:tcPr>
          <w:p w14:paraId="7A1DA3FB" w14:textId="77777777" w:rsidR="00B651A2" w:rsidRPr="00E32A7A" w:rsidRDefault="00B651A2" w:rsidP="00B651A2">
            <w:pPr>
              <w:rPr>
                <w:rFonts w:ascii="Arial" w:eastAsia="Museo Sans 300" w:hAnsi="Arial" w:cs="Arial"/>
              </w:rPr>
            </w:pPr>
            <w:r w:rsidRPr="00E32A7A">
              <w:rPr>
                <w:rFonts w:ascii="Arial" w:eastAsia="Museo Sans 300" w:hAnsi="Arial" w:cs="Arial"/>
              </w:rPr>
              <w:t>Frontend / Dashboard Jr.</w:t>
            </w:r>
          </w:p>
        </w:tc>
      </w:tr>
      <w:tr w:rsidR="00B651A2" w:rsidRPr="00E32A7A" w14:paraId="5E9CDF4B" w14:textId="77777777" w:rsidTr="00B651A2">
        <w:tc>
          <w:tcPr>
            <w:tcW w:w="4254" w:type="dxa"/>
            <w:hideMark/>
          </w:tcPr>
          <w:p w14:paraId="5BA2D72A" w14:textId="77777777" w:rsidR="00B651A2" w:rsidRPr="00E32A7A" w:rsidRDefault="00B651A2" w:rsidP="00B651A2">
            <w:pPr>
              <w:rPr>
                <w:rFonts w:ascii="Arial" w:eastAsia="Museo Sans 300" w:hAnsi="Arial" w:cs="Arial"/>
              </w:rPr>
            </w:pPr>
            <w:r w:rsidRPr="00E32A7A">
              <w:rPr>
                <w:rFonts w:ascii="Arial" w:eastAsia="Museo Sans 300" w:hAnsi="Arial" w:cs="Arial"/>
              </w:rPr>
              <w:t>Lissete América Zapata de Zapata</w:t>
            </w:r>
          </w:p>
        </w:tc>
        <w:tc>
          <w:tcPr>
            <w:tcW w:w="5670" w:type="dxa"/>
            <w:hideMark/>
          </w:tcPr>
          <w:p w14:paraId="11254A37" w14:textId="77777777" w:rsidR="00B651A2" w:rsidRPr="00E32A7A" w:rsidRDefault="00B651A2" w:rsidP="00B651A2">
            <w:pPr>
              <w:rPr>
                <w:rFonts w:ascii="Arial" w:eastAsia="Museo Sans 300" w:hAnsi="Arial" w:cs="Arial"/>
              </w:rPr>
            </w:pPr>
            <w:r w:rsidRPr="00E32A7A">
              <w:rPr>
                <w:rFonts w:ascii="Arial" w:eastAsia="Museo Sans 300" w:hAnsi="Arial" w:cs="Arial"/>
              </w:rPr>
              <w:t>QA / Analista de Seguridad / Documentación Jr.</w:t>
            </w:r>
          </w:p>
        </w:tc>
      </w:tr>
    </w:tbl>
    <w:p w14:paraId="4EB3C212" w14:textId="77777777" w:rsidR="00AE79F5" w:rsidRDefault="00AE79F5" w:rsidP="002D0B85">
      <w:pPr>
        <w:spacing w:before="240" w:after="240"/>
        <w:jc w:val="both"/>
        <w:rPr>
          <w:rFonts w:ascii="Arial" w:hAnsi="Arial" w:cs="Arial"/>
        </w:rPr>
      </w:pPr>
    </w:p>
    <w:p w14:paraId="0A3D1C03" w14:textId="77777777" w:rsidR="00AE79F5" w:rsidRPr="00E32A7A" w:rsidRDefault="00AE79F5" w:rsidP="00AE79F5">
      <w:pPr>
        <w:pStyle w:val="Heading1"/>
        <w:rPr>
          <w:rFonts w:eastAsia="Museo Sans 300" w:cs="Arial"/>
        </w:rPr>
      </w:pPr>
      <w:r w:rsidRPr="00E32A7A">
        <w:rPr>
          <w:rFonts w:eastAsia="Museo Sans 300" w:cs="Arial"/>
        </w:rPr>
        <w:t>Resumen Ejecutivo</w:t>
      </w:r>
    </w:p>
    <w:p w14:paraId="00B52895" w14:textId="77777777" w:rsidR="00AE79F5" w:rsidRDefault="00AE79F5" w:rsidP="002D0B85">
      <w:pPr>
        <w:spacing w:before="240" w:after="240"/>
        <w:jc w:val="both"/>
        <w:rPr>
          <w:rFonts w:ascii="Arial" w:hAnsi="Arial" w:cs="Arial"/>
        </w:rPr>
      </w:pPr>
    </w:p>
    <w:p w14:paraId="23047B54" w14:textId="6129191C" w:rsidR="002D0B85" w:rsidRPr="002D0B85" w:rsidRDefault="00023868" w:rsidP="002D0B85">
      <w:pPr>
        <w:spacing w:before="240" w:after="240"/>
        <w:jc w:val="both"/>
        <w:rPr>
          <w:rFonts w:ascii="Arial" w:hAnsi="Arial" w:cs="Arial"/>
          <w:color w:val="153D63" w:themeColor="text2" w:themeTint="E6"/>
          <w:sz w:val="28"/>
          <w:szCs w:val="28"/>
        </w:rPr>
      </w:pPr>
      <w:r w:rsidRPr="00023868">
        <w:rPr>
          <w:rFonts w:ascii="Arial" w:hAnsi="Arial" w:cs="Arial"/>
        </w:rPr>
        <w:t xml:space="preserve">En un proyecto de </w:t>
      </w:r>
      <w:r w:rsidRPr="00023868">
        <w:rPr>
          <w:rFonts w:ascii="Arial" w:hAnsi="Arial" w:cs="Arial"/>
          <w:b/>
          <w:bCs/>
        </w:rPr>
        <w:t>IAM Avanzado y Zero Trust orientado a una universidad</w:t>
      </w:r>
      <w:r w:rsidRPr="00023868">
        <w:rPr>
          <w:rFonts w:ascii="Arial" w:hAnsi="Arial" w:cs="Arial"/>
        </w:rPr>
        <w:t>, los recursos críticos a proteger incluyen la información personal y académica de estudiantes y personal, los datos de investigación y propiedad intelectual, los sistemas administrativos y financieros, las plataformas educativas (LMS) y la infraestructura tecnológica; todos ellos dependen de componentes técnicos interconectados como la autenticación centralizada de identidades, la definición granular de roles en el backend, la aplicación de políticas de acceso condicionales, la gestión segura de bases de datos cloud y la integración con sistemas de monitoreo y auditoría, lo que exige un enfoque coordinado que garantice trazabilidad, cumplimiento normativo y resiliencia frente a riesgos como permisos excesivos, credenciales compartidas o vulnerabilidades en sistemas heredados.</w:t>
      </w:r>
    </w:p>
    <w:p w14:paraId="49F8B280" w14:textId="05B321FE" w:rsidR="002D0B85" w:rsidRDefault="002D0B85">
      <w:pPr>
        <w:rPr>
          <w:rFonts w:ascii="Arial" w:eastAsia="Museo Sans 300" w:hAnsi="Arial" w:cs="Arial"/>
          <w:color w:val="153D63" w:themeColor="text2" w:themeTint="E6"/>
          <w:sz w:val="28"/>
          <w:szCs w:val="28"/>
        </w:rPr>
      </w:pPr>
      <w:r>
        <w:rPr>
          <w:rFonts w:ascii="Arial" w:eastAsia="Museo Sans 300" w:hAnsi="Arial" w:cs="Arial"/>
          <w:color w:val="153D63" w:themeColor="text2" w:themeTint="E6"/>
          <w:sz w:val="28"/>
          <w:szCs w:val="28"/>
        </w:rPr>
        <w:br w:type="page"/>
      </w:r>
    </w:p>
    <w:p w14:paraId="442BC937" w14:textId="77777777" w:rsidR="002D0B85" w:rsidRDefault="002D0B85" w:rsidP="00B651A2">
      <w:pPr>
        <w:rPr>
          <w:rFonts w:ascii="Arial" w:eastAsia="Museo Sans 300" w:hAnsi="Arial" w:cs="Arial"/>
          <w:color w:val="153D63" w:themeColor="text2" w:themeTint="E6"/>
          <w:sz w:val="28"/>
          <w:szCs w:val="28"/>
        </w:rPr>
      </w:pPr>
    </w:p>
    <w:p w14:paraId="1EDFC980" w14:textId="3B2B12AB" w:rsidR="002D0B85" w:rsidRPr="00CC0E28" w:rsidRDefault="002D0B85" w:rsidP="002D0B85">
      <w:pPr>
        <w:pStyle w:val="Heading2"/>
        <w:jc w:val="both"/>
        <w:rPr>
          <w:b/>
          <w:bCs/>
        </w:rPr>
      </w:pPr>
      <w:bookmarkStart w:id="0" w:name="_Toc232355791"/>
      <w:r w:rsidRPr="00CC0E28">
        <w:rPr>
          <w:b/>
          <w:bCs/>
        </w:rPr>
        <w:t xml:space="preserve">1. </w:t>
      </w:r>
      <w:bookmarkEnd w:id="0"/>
      <w:r w:rsidR="00DA307A">
        <w:rPr>
          <w:b/>
          <w:bCs/>
        </w:rPr>
        <w:t>Identificación</w:t>
      </w:r>
      <w:r w:rsidR="00023868">
        <w:rPr>
          <w:b/>
          <w:bCs/>
        </w:rPr>
        <w:t xml:space="preserve"> de recursos</w:t>
      </w:r>
      <w:r w:rsidR="00DA307A">
        <w:rPr>
          <w:b/>
          <w:bCs/>
        </w:rPr>
        <w:t xml:space="preserve"> críticos a proteger:</w:t>
      </w:r>
    </w:p>
    <w:p w14:paraId="66FBB77E" w14:textId="77777777" w:rsidR="00AE79F5" w:rsidRDefault="00DA307A" w:rsidP="002D0B85">
      <w:pPr>
        <w:pStyle w:val="Heading3"/>
        <w:jc w:val="both"/>
        <w:rPr>
          <w:rFonts w:ascii="Arial" w:eastAsia="Museo Sans 300" w:hAnsi="Arial" w:cs="Arial"/>
          <w:color w:val="auto"/>
          <w:sz w:val="24"/>
          <w:szCs w:val="24"/>
        </w:rPr>
      </w:pPr>
      <w:bookmarkStart w:id="1" w:name="_Toc232355792"/>
      <w:r w:rsidRPr="00DA307A">
        <w:rPr>
          <w:rFonts w:ascii="Arial" w:eastAsia="Museo Sans 300" w:hAnsi="Arial" w:cs="Arial"/>
          <w:color w:val="auto"/>
          <w:sz w:val="24"/>
          <w:szCs w:val="24"/>
        </w:rPr>
        <w:t>En la Universidad Nova Digital, los recursos críticos que requieren mayor protección dentro de un esquema de IAM Avanzado y Zero Trust abarcan distintos niveles de información y sistemas. En primer lugar, se encuentran los expedientes académicos y datos personales de estudiantes, docentes y personal administrativo, que constituyen la base de la confianza institucional y están sujetos a normativas de protección de datos. En segundo lugar, los repositorios de investigación y propiedad intelectual, que incluyen proyectos científicos, publicaciones y patentes, representan activos estratégicos para la innovación universitaria. También son esenciales los sistemas administrativos y financieros, como nóminas, contratos y convenios, que sostienen la operación institucional.</w:t>
      </w:r>
    </w:p>
    <w:p w14:paraId="375CB47E" w14:textId="25B9E10F" w:rsidR="00DA307A" w:rsidRPr="00DA307A" w:rsidRDefault="00DA307A" w:rsidP="002D0B85">
      <w:pPr>
        <w:pStyle w:val="Heading3"/>
        <w:jc w:val="both"/>
        <w:rPr>
          <w:rFonts w:ascii="Arial" w:eastAsia="Museo Sans 300" w:hAnsi="Arial" w:cs="Arial"/>
          <w:color w:val="auto"/>
          <w:sz w:val="24"/>
          <w:szCs w:val="24"/>
        </w:rPr>
      </w:pPr>
      <w:r w:rsidRPr="00DA307A">
        <w:rPr>
          <w:rFonts w:ascii="Arial" w:eastAsia="Museo Sans 300" w:hAnsi="Arial" w:cs="Arial"/>
          <w:color w:val="auto"/>
          <w:sz w:val="24"/>
          <w:szCs w:val="24"/>
        </w:rPr>
        <w:t>A esto se suman las plataformas educativas y de soporte digital (aulas virtuales, LMS, formularios internos, paneles de gestión), cuyo acceso seguro garantiza la continuidad académica. Finalmente, la infraestructura tecnológica y operativa —servidores, configuraciones, credenciales y registros de auditoría— constituye el núcleo que conecta todos los procesos. La protección de estos recursos exige reconocer sus dependencias técnicas: autenticación centralizada de identidades, definición granular de roles, aplicación de políticas condicionales bajo Zero Trust y monitoreo continuo, de modo que la universidad pueda asegurar trazabilidad, cumplimiento normativo y resiliencia frente a riesgos crecientes.</w:t>
      </w:r>
    </w:p>
    <w:bookmarkEnd w:id="1"/>
    <w:p w14:paraId="23A40DE9" w14:textId="7690C8AE" w:rsidR="001A603D" w:rsidRPr="00CC0E28" w:rsidRDefault="001A603D" w:rsidP="001A603D">
      <w:pPr>
        <w:pStyle w:val="Heading2"/>
        <w:jc w:val="both"/>
        <w:rPr>
          <w:b/>
          <w:bCs/>
        </w:rPr>
      </w:pPr>
      <w:r>
        <w:rPr>
          <w:b/>
          <w:bCs/>
        </w:rPr>
        <w:t>2</w:t>
      </w:r>
      <w:r w:rsidRPr="00CC0E28">
        <w:rPr>
          <w:b/>
          <w:bCs/>
        </w:rPr>
        <w:t xml:space="preserve">. </w:t>
      </w:r>
      <w:r>
        <w:rPr>
          <w:b/>
          <w:bCs/>
        </w:rPr>
        <w:t>Identificación de dependencias técnicas entre componentes:</w:t>
      </w:r>
    </w:p>
    <w:p w14:paraId="7564E6A2" w14:textId="6391F0A5" w:rsidR="001A603D" w:rsidRDefault="001A603D" w:rsidP="002D0B85">
      <w:pPr>
        <w:pStyle w:val="Heading3"/>
        <w:jc w:val="both"/>
        <w:rPr>
          <w:rFonts w:ascii="Arial" w:eastAsia="Museo Sans 300" w:hAnsi="Arial" w:cs="Arial"/>
          <w:color w:val="auto"/>
          <w:sz w:val="24"/>
          <w:szCs w:val="24"/>
        </w:rPr>
      </w:pPr>
      <w:bookmarkStart w:id="2" w:name="_Toc232355793"/>
      <w:r w:rsidRPr="001A603D">
        <w:rPr>
          <w:rFonts w:ascii="Arial" w:eastAsia="Museo Sans 300" w:hAnsi="Arial" w:cs="Arial"/>
          <w:color w:val="auto"/>
          <w:sz w:val="24"/>
          <w:szCs w:val="24"/>
        </w:rPr>
        <w:t>Ante la problemática planteada por la Universidad Nova Digital se seleccionó Auth0 como la solución central de Identity and Access Management (IAM) por varias razones estratégicas:</w:t>
      </w:r>
    </w:p>
    <w:p w14:paraId="67242BCD" w14:textId="77777777" w:rsidR="001A603D" w:rsidRDefault="001A603D" w:rsidP="001A603D"/>
    <w:p w14:paraId="0C0AD499" w14:textId="77777777" w:rsidR="001A603D" w:rsidRDefault="001A603D" w:rsidP="001A603D">
      <w:pPr>
        <w:pStyle w:val="ListParagraph"/>
        <w:numPr>
          <w:ilvl w:val="0"/>
          <w:numId w:val="23"/>
        </w:numPr>
      </w:pPr>
      <w:r w:rsidRPr="001A603D">
        <w:rPr>
          <w:b/>
          <w:bCs/>
        </w:rPr>
        <w:t>Centralización de identidades:</w:t>
      </w:r>
      <w:r w:rsidRPr="001A603D">
        <w:t xml:space="preserve"> Auth0 permite consolidar usuarios provenientes de distintos sistemas (Azure AD, Google Workspace, LDAP) en un único punto de autenticación.</w:t>
      </w:r>
    </w:p>
    <w:p w14:paraId="4B5E83B5" w14:textId="77777777" w:rsidR="001A603D" w:rsidRDefault="001A603D" w:rsidP="001A603D">
      <w:pPr>
        <w:pStyle w:val="ListParagraph"/>
        <w:numPr>
          <w:ilvl w:val="0"/>
          <w:numId w:val="23"/>
        </w:numPr>
      </w:pPr>
      <w:r w:rsidRPr="001A603D">
        <w:rPr>
          <w:b/>
          <w:bCs/>
        </w:rPr>
        <w:t>Flexibilidad en políticas de acceso:</w:t>
      </w:r>
      <w:r w:rsidRPr="001A603D">
        <w:t xml:space="preserve"> soporta modelos RBAC y ABAC, además de reglas condicionales basadas en contexto, lo que facilita aplicar el enfoque Zero Trust.</w:t>
      </w:r>
    </w:p>
    <w:p w14:paraId="2D8C03F4" w14:textId="77777777" w:rsidR="001A603D" w:rsidRDefault="001A603D" w:rsidP="001A603D">
      <w:pPr>
        <w:pStyle w:val="ListParagraph"/>
        <w:numPr>
          <w:ilvl w:val="0"/>
          <w:numId w:val="23"/>
        </w:numPr>
      </w:pPr>
      <w:r w:rsidRPr="009A0CE3">
        <w:rPr>
          <w:b/>
          <w:bCs/>
        </w:rPr>
        <w:t>Seguridad avanzada:</w:t>
      </w:r>
      <w:r w:rsidRPr="001A603D">
        <w:t xml:space="preserve"> ofrece autenticación multifactor (MFA), integración con proveedores externos y emisión de tokens JWT con roles y permisos embebidos.</w:t>
      </w:r>
    </w:p>
    <w:p w14:paraId="7111640F" w14:textId="77777777" w:rsidR="001A603D" w:rsidRDefault="001A603D" w:rsidP="001A603D">
      <w:pPr>
        <w:pStyle w:val="ListParagraph"/>
        <w:numPr>
          <w:ilvl w:val="0"/>
          <w:numId w:val="23"/>
        </w:numPr>
      </w:pPr>
      <w:r w:rsidRPr="009A0CE3">
        <w:rPr>
          <w:b/>
          <w:bCs/>
        </w:rPr>
        <w:t>Automatización del ciclo de vida de usuarios:</w:t>
      </w:r>
      <w:r w:rsidRPr="001A603D">
        <w:t xml:space="preserve"> mediante APIs, Auth0 permite aprovisionar y deshabilitar cuentas de forma automática, reduciendo errores humanos.</w:t>
      </w:r>
    </w:p>
    <w:p w14:paraId="6337CB32" w14:textId="77777777" w:rsidR="009A0CE3" w:rsidRDefault="001A603D" w:rsidP="009A0CE3">
      <w:pPr>
        <w:pStyle w:val="ListParagraph"/>
        <w:numPr>
          <w:ilvl w:val="0"/>
          <w:numId w:val="23"/>
        </w:numPr>
      </w:pPr>
      <w:r w:rsidRPr="009A0CE3">
        <w:rPr>
          <w:b/>
          <w:bCs/>
        </w:rPr>
        <w:t>Monitoreo y auditoría:</w:t>
      </w:r>
      <w:r w:rsidRPr="001A603D">
        <w:t xml:space="preserve"> genera logs detallados de autenticación y autorización, que pueden integrarse con sistemas SIEM institucionales para trazabilidad y cumplimiento normativo.</w:t>
      </w:r>
    </w:p>
    <w:p w14:paraId="441783F2" w14:textId="2A7EF2DD" w:rsidR="001A603D" w:rsidRPr="001A603D" w:rsidRDefault="001A603D" w:rsidP="009A0CE3">
      <w:pPr>
        <w:pStyle w:val="ListParagraph"/>
        <w:numPr>
          <w:ilvl w:val="0"/>
          <w:numId w:val="23"/>
        </w:numPr>
      </w:pPr>
      <w:r w:rsidRPr="009A0CE3">
        <w:rPr>
          <w:b/>
          <w:bCs/>
        </w:rPr>
        <w:t>Escalabilidad y soporte académico:</w:t>
      </w:r>
      <w:r w:rsidRPr="001A603D">
        <w:t xml:space="preserve"> su arquitectura cloud-native asegura que pueda crecer al ritmo de la universidad, soportando miles de usuarios con perfiles dinámicos.</w:t>
      </w:r>
    </w:p>
    <w:p w14:paraId="38BA3956" w14:textId="77777777" w:rsidR="001A603D" w:rsidRPr="001A603D" w:rsidRDefault="001A603D" w:rsidP="001A603D"/>
    <w:bookmarkEnd w:id="2"/>
    <w:p w14:paraId="3E6ADC54" w14:textId="77777777" w:rsidR="00AE79F5" w:rsidRDefault="009A0CE3" w:rsidP="009A0CE3">
      <w:pPr>
        <w:pStyle w:val="Heading3"/>
        <w:jc w:val="both"/>
      </w:pPr>
      <w:r>
        <w:lastRenderedPageBreak/>
        <w:t>Modelo de Inventario de Datos Protegidos:</w:t>
      </w:r>
    </w:p>
    <w:p w14:paraId="410F05FA" w14:textId="6F83B873" w:rsidR="00AE79F5" w:rsidRPr="00AE79F5" w:rsidRDefault="00AE79F5" w:rsidP="009A0CE3">
      <w:pPr>
        <w:pStyle w:val="Heading3"/>
        <w:jc w:val="both"/>
        <w:rPr>
          <w:rFonts w:ascii="Arial" w:eastAsia="Museo Sans 300" w:hAnsi="Arial" w:cs="Arial"/>
          <w:color w:val="auto"/>
          <w:sz w:val="24"/>
          <w:szCs w:val="24"/>
        </w:rPr>
      </w:pPr>
      <w:r w:rsidRPr="00AE79F5">
        <w:rPr>
          <w:rFonts w:ascii="Arial" w:eastAsia="Museo Sans 300" w:hAnsi="Arial" w:cs="Arial"/>
          <w:color w:val="auto"/>
          <w:sz w:val="24"/>
          <w:szCs w:val="24"/>
        </w:rPr>
        <w:t>A continuación se muestra un modelo de inventario de datos protegidos con su respectiva categoría, ejemplos específicos, nivel de criticidad, dependencias técnicas y sus riesgos asociados:</w:t>
      </w:r>
    </w:p>
    <w:p w14:paraId="0419F9A1" w14:textId="77777777" w:rsidR="00AE79F5" w:rsidRDefault="00AE79F5" w:rsidP="00AE79F5"/>
    <w:tbl>
      <w:tblPr>
        <w:tblStyle w:val="GridTable4-Accent1"/>
        <w:tblW w:w="0" w:type="auto"/>
        <w:jc w:val="center"/>
        <w:tblLook w:val="0480" w:firstRow="0" w:lastRow="0" w:firstColumn="1" w:lastColumn="0" w:noHBand="0" w:noVBand="1"/>
      </w:tblPr>
      <w:tblGrid>
        <w:gridCol w:w="2503"/>
        <w:gridCol w:w="3058"/>
        <w:gridCol w:w="1425"/>
        <w:gridCol w:w="3084"/>
        <w:gridCol w:w="2924"/>
      </w:tblGrid>
      <w:tr w:rsidR="00A62C5F" w14:paraId="055F93A9" w14:textId="77777777" w:rsidTr="00A62C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shd w:val="clear" w:color="auto" w:fill="156082" w:themeFill="accent1"/>
            <w:vAlign w:val="center"/>
          </w:tcPr>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2008"/>
              <w:gridCol w:w="66"/>
              <w:gridCol w:w="66"/>
              <w:gridCol w:w="66"/>
              <w:gridCol w:w="81"/>
            </w:tblGrid>
            <w:tr w:rsidR="00A62C5F" w:rsidRPr="00A62C5F" w14:paraId="5DE5B639" w14:textId="77777777" w:rsidTr="00A62C5F">
              <w:trPr>
                <w:tblCellSpacing w:w="15" w:type="dxa"/>
              </w:trPr>
              <w:tc>
                <w:tcPr>
                  <w:tcW w:w="4320" w:type="pct"/>
                  <w:vAlign w:val="center"/>
                  <w:hideMark/>
                </w:tcPr>
                <w:p w14:paraId="568940B3" w14:textId="0EA1F638" w:rsidR="00A62C5F" w:rsidRPr="00A62C5F" w:rsidRDefault="00A62C5F" w:rsidP="00A62C5F">
                  <w:pPr>
                    <w:jc w:val="center"/>
                    <w:rPr>
                      <w:rFonts w:ascii="Times New Roman" w:eastAsia="Times New Roman" w:hAnsi="Times New Roman" w:cs="Times New Roman"/>
                      <w:b/>
                      <w:bCs/>
                      <w:color w:val="FFFFFF" w:themeColor="background1"/>
                      <w:kern w:val="0"/>
                      <w:lang w:eastAsia="es-SV"/>
                      <w14:ligatures w14:val="none"/>
                    </w:rPr>
                  </w:pPr>
                  <w:r>
                    <w:rPr>
                      <w:rFonts w:ascii="Times New Roman" w:eastAsia="Times New Roman" w:hAnsi="Times New Roman" w:cs="Times New Roman"/>
                      <w:b/>
                      <w:bCs/>
                      <w:color w:val="FFFFFF" w:themeColor="background1"/>
                      <w:kern w:val="0"/>
                      <w:lang w:eastAsia="es-SV"/>
                      <w14:ligatures w14:val="none"/>
                    </w:rPr>
                    <w:t>Categoria de Recurso</w:t>
                  </w:r>
                </w:p>
              </w:tc>
              <w:tc>
                <w:tcPr>
                  <w:tcW w:w="76" w:type="pct"/>
                  <w:vAlign w:val="center"/>
                  <w:hideMark/>
                </w:tcPr>
                <w:p w14:paraId="6A8407EA" w14:textId="2CAEC156" w:rsidR="00A62C5F" w:rsidRPr="00A62C5F" w:rsidRDefault="00A62C5F" w:rsidP="00A62C5F">
                  <w:pPr>
                    <w:jc w:val="center"/>
                    <w:rPr>
                      <w:rFonts w:ascii="Times New Roman" w:eastAsia="Times New Roman" w:hAnsi="Times New Roman" w:cs="Times New Roman"/>
                      <w:b/>
                      <w:bCs/>
                      <w:color w:val="FFFFFF" w:themeColor="background1"/>
                      <w:kern w:val="0"/>
                      <w:lang w:eastAsia="es-SV"/>
                      <w14:ligatures w14:val="none"/>
                    </w:rPr>
                  </w:pPr>
                </w:p>
              </w:tc>
              <w:tc>
                <w:tcPr>
                  <w:tcW w:w="76" w:type="pct"/>
                  <w:vAlign w:val="center"/>
                  <w:hideMark/>
                </w:tcPr>
                <w:p w14:paraId="663083A2" w14:textId="4FFA2270" w:rsidR="00A62C5F" w:rsidRPr="00A62C5F" w:rsidRDefault="00A62C5F" w:rsidP="00A62C5F">
                  <w:pPr>
                    <w:jc w:val="center"/>
                    <w:rPr>
                      <w:rFonts w:ascii="Times New Roman" w:eastAsia="Times New Roman" w:hAnsi="Times New Roman" w:cs="Times New Roman"/>
                      <w:b/>
                      <w:bCs/>
                      <w:color w:val="FFFFFF" w:themeColor="background1"/>
                      <w:kern w:val="0"/>
                      <w:lang w:eastAsia="es-SV"/>
                      <w14:ligatures w14:val="none"/>
                    </w:rPr>
                  </w:pPr>
                </w:p>
              </w:tc>
              <w:tc>
                <w:tcPr>
                  <w:tcW w:w="76" w:type="pct"/>
                  <w:vAlign w:val="center"/>
                  <w:hideMark/>
                </w:tcPr>
                <w:p w14:paraId="6E36BFB5" w14:textId="3D9F08DF" w:rsidR="00A62C5F" w:rsidRPr="00A62C5F" w:rsidRDefault="00A62C5F" w:rsidP="00A62C5F">
                  <w:pPr>
                    <w:jc w:val="center"/>
                    <w:rPr>
                      <w:rFonts w:ascii="Times New Roman" w:eastAsia="Times New Roman" w:hAnsi="Times New Roman" w:cs="Times New Roman"/>
                      <w:b/>
                      <w:bCs/>
                      <w:color w:val="FFFFFF" w:themeColor="background1"/>
                      <w:kern w:val="0"/>
                      <w:lang w:eastAsia="es-SV"/>
                      <w14:ligatures w14:val="none"/>
                    </w:rPr>
                  </w:pPr>
                </w:p>
              </w:tc>
              <w:tc>
                <w:tcPr>
                  <w:tcW w:w="76" w:type="pct"/>
                  <w:vAlign w:val="center"/>
                  <w:hideMark/>
                </w:tcPr>
                <w:p w14:paraId="45656522" w14:textId="19F3AC5E" w:rsidR="00A62C5F" w:rsidRPr="00A62C5F" w:rsidRDefault="00A62C5F" w:rsidP="00A62C5F">
                  <w:pPr>
                    <w:jc w:val="center"/>
                    <w:rPr>
                      <w:rFonts w:ascii="Times New Roman" w:eastAsia="Times New Roman" w:hAnsi="Times New Roman" w:cs="Times New Roman"/>
                      <w:b/>
                      <w:bCs/>
                      <w:color w:val="FFFFFF" w:themeColor="background1"/>
                      <w:kern w:val="0"/>
                      <w:lang w:eastAsia="es-SV"/>
                      <w14:ligatures w14:val="none"/>
                    </w:rPr>
                  </w:pPr>
                </w:p>
              </w:tc>
            </w:tr>
          </w:tbl>
          <w:p w14:paraId="1DD3F743" w14:textId="77777777" w:rsidR="00AE79F5" w:rsidRPr="00A62C5F" w:rsidRDefault="00AE79F5" w:rsidP="00A62C5F">
            <w:pPr>
              <w:jc w:val="center"/>
              <w:rPr>
                <w:color w:val="FFFFFF" w:themeColor="background1"/>
              </w:rPr>
            </w:pPr>
          </w:p>
        </w:tc>
        <w:tc>
          <w:tcPr>
            <w:tcW w:w="0" w:type="auto"/>
            <w:shd w:val="clear" w:color="auto" w:fill="156082" w:themeFill="accent1"/>
            <w:vAlign w:val="center"/>
          </w:tcPr>
          <w:p w14:paraId="67C18F38" w14:textId="38CF2DD2" w:rsidR="00AE79F5" w:rsidRPr="00A62C5F" w:rsidRDefault="00A62C5F" w:rsidP="00A62C5F">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A62C5F">
              <w:rPr>
                <w:rFonts w:ascii="Times New Roman" w:eastAsia="Times New Roman" w:hAnsi="Times New Roman" w:cs="Times New Roman"/>
                <w:b/>
                <w:bCs/>
                <w:color w:val="FFFFFF" w:themeColor="background1"/>
                <w:kern w:val="0"/>
                <w:lang w:eastAsia="es-SV"/>
                <w14:ligatures w14:val="none"/>
              </w:rPr>
              <w:t>Ejemplos específicos</w:t>
            </w:r>
          </w:p>
        </w:tc>
        <w:tc>
          <w:tcPr>
            <w:tcW w:w="0" w:type="auto"/>
            <w:shd w:val="clear" w:color="auto" w:fill="156082" w:themeFill="accent1"/>
            <w:vAlign w:val="center"/>
          </w:tcPr>
          <w:p w14:paraId="07A034EF" w14:textId="209CC21A" w:rsidR="00AE79F5" w:rsidRPr="00A62C5F" w:rsidRDefault="00A62C5F" w:rsidP="00A62C5F">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A62C5F">
              <w:rPr>
                <w:rFonts w:ascii="Times New Roman" w:eastAsia="Times New Roman" w:hAnsi="Times New Roman" w:cs="Times New Roman"/>
                <w:b/>
                <w:bCs/>
                <w:color w:val="FFFFFF" w:themeColor="background1"/>
                <w:kern w:val="0"/>
                <w:lang w:eastAsia="es-SV"/>
                <w14:ligatures w14:val="none"/>
              </w:rPr>
              <w:t>Nivel de criticidad</w:t>
            </w:r>
          </w:p>
        </w:tc>
        <w:tc>
          <w:tcPr>
            <w:tcW w:w="0" w:type="auto"/>
            <w:shd w:val="clear" w:color="auto" w:fill="156082" w:themeFill="accent1"/>
            <w:vAlign w:val="center"/>
          </w:tcPr>
          <w:p w14:paraId="281B6348" w14:textId="22127131" w:rsidR="00AE79F5" w:rsidRPr="00A62C5F" w:rsidRDefault="00A62C5F" w:rsidP="00A62C5F">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A62C5F">
              <w:rPr>
                <w:rFonts w:ascii="Times New Roman" w:eastAsia="Times New Roman" w:hAnsi="Times New Roman" w:cs="Times New Roman"/>
                <w:b/>
                <w:bCs/>
                <w:color w:val="FFFFFF" w:themeColor="background1"/>
                <w:kern w:val="0"/>
                <w:lang w:eastAsia="es-SV"/>
                <w14:ligatures w14:val="none"/>
              </w:rPr>
              <w:t>Dependencias técnicas</w:t>
            </w:r>
          </w:p>
        </w:tc>
        <w:tc>
          <w:tcPr>
            <w:tcW w:w="0" w:type="auto"/>
            <w:shd w:val="clear" w:color="auto" w:fill="156082" w:themeFill="accent1"/>
            <w:vAlign w:val="center"/>
          </w:tcPr>
          <w:p w14:paraId="3DBC8C4F" w14:textId="34284D7E" w:rsidR="00AE79F5" w:rsidRPr="00A62C5F" w:rsidRDefault="00A62C5F" w:rsidP="00A62C5F">
            <w:pPr>
              <w:jc w:val="center"/>
              <w:cnfStyle w:val="000000100000" w:firstRow="0" w:lastRow="0" w:firstColumn="0" w:lastColumn="0" w:oddVBand="0" w:evenVBand="0" w:oddHBand="1" w:evenHBand="0" w:firstRowFirstColumn="0" w:firstRowLastColumn="0" w:lastRowFirstColumn="0" w:lastRowLastColumn="0"/>
              <w:rPr>
                <w:color w:val="FFFFFF" w:themeColor="background1"/>
              </w:rPr>
            </w:pPr>
            <w:r w:rsidRPr="00A62C5F">
              <w:rPr>
                <w:rFonts w:ascii="Times New Roman" w:eastAsia="Times New Roman" w:hAnsi="Times New Roman" w:cs="Times New Roman"/>
                <w:b/>
                <w:bCs/>
                <w:color w:val="FFFFFF" w:themeColor="background1"/>
                <w:kern w:val="0"/>
                <w:lang w:eastAsia="es-SV"/>
                <w14:ligatures w14:val="none"/>
              </w:rPr>
              <w:t>Riesgos asociados</w:t>
            </w:r>
          </w:p>
        </w:tc>
      </w:tr>
      <w:tr w:rsidR="00AE79F5" w14:paraId="7CBD3064" w14:textId="77777777" w:rsidTr="00A62C5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EB06F85" w14:textId="53BC076A" w:rsidR="00AE79F5" w:rsidRDefault="00A62C5F" w:rsidP="00A62C5F">
            <w:pPr>
              <w:jc w:val="center"/>
            </w:pPr>
            <w:r w:rsidRPr="00A62C5F">
              <w:t>Académicos</w:t>
            </w:r>
          </w:p>
        </w:tc>
        <w:tc>
          <w:tcPr>
            <w:tcW w:w="0" w:type="auto"/>
            <w:vAlign w:val="center"/>
          </w:tcPr>
          <w:p w14:paraId="11B312D7" w14:textId="4743EF4F"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Expedientes estudiantiles, calificaciones, historial académico</w:t>
            </w:r>
          </w:p>
        </w:tc>
        <w:tc>
          <w:tcPr>
            <w:tcW w:w="0" w:type="auto"/>
            <w:vAlign w:val="center"/>
          </w:tcPr>
          <w:p w14:paraId="1DE68D90" w14:textId="204E77CE"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Alto</w:t>
            </w:r>
          </w:p>
        </w:tc>
        <w:tc>
          <w:tcPr>
            <w:tcW w:w="0" w:type="auto"/>
            <w:vAlign w:val="center"/>
          </w:tcPr>
          <w:p w14:paraId="30D17D6B" w14:textId="6DBC0F1E"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LMS (Moodle, Canvas), bases de datos SQL</w:t>
            </w:r>
          </w:p>
        </w:tc>
        <w:tc>
          <w:tcPr>
            <w:tcW w:w="0" w:type="auto"/>
            <w:vAlign w:val="center"/>
          </w:tcPr>
          <w:p w14:paraId="6FC53CDF" w14:textId="4FB948A6"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Fuga de datos personales, incumplimiento normativo</w:t>
            </w:r>
          </w:p>
        </w:tc>
      </w:tr>
      <w:tr w:rsidR="00AE79F5" w14:paraId="00363B1E" w14:textId="77777777" w:rsidTr="00A62C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0F6766D" w14:textId="785208BD" w:rsidR="00AE79F5" w:rsidRDefault="00A62C5F" w:rsidP="00A62C5F">
            <w:pPr>
              <w:jc w:val="center"/>
            </w:pPr>
            <w:r w:rsidRPr="00A62C5F">
              <w:t>Investigación y propiedad intelectual</w:t>
            </w:r>
          </w:p>
        </w:tc>
        <w:tc>
          <w:tcPr>
            <w:tcW w:w="0" w:type="auto"/>
            <w:vAlign w:val="center"/>
          </w:tcPr>
          <w:p w14:paraId="0A29DE16" w14:textId="1F5A471A" w:rsidR="00AE79F5" w:rsidRDefault="00A62C5F" w:rsidP="00A62C5F">
            <w:pPr>
              <w:jc w:val="center"/>
              <w:cnfStyle w:val="000000100000" w:firstRow="0" w:lastRow="0" w:firstColumn="0" w:lastColumn="0" w:oddVBand="0" w:evenVBand="0" w:oddHBand="1" w:evenHBand="0" w:firstRowFirstColumn="0" w:firstRowLastColumn="0" w:lastRowFirstColumn="0" w:lastRowLastColumn="0"/>
            </w:pPr>
            <w:r w:rsidRPr="00A62C5F">
              <w:t>Proyectos científicos, repositorios, publicaciones, patentes</w:t>
            </w:r>
          </w:p>
        </w:tc>
        <w:tc>
          <w:tcPr>
            <w:tcW w:w="0" w:type="auto"/>
            <w:vAlign w:val="center"/>
          </w:tcPr>
          <w:p w14:paraId="0339A519" w14:textId="14BBD7AA" w:rsidR="00AE79F5" w:rsidRDefault="00A62C5F" w:rsidP="00A62C5F">
            <w:pPr>
              <w:jc w:val="center"/>
              <w:cnfStyle w:val="000000100000" w:firstRow="0" w:lastRow="0" w:firstColumn="0" w:lastColumn="0" w:oddVBand="0" w:evenVBand="0" w:oddHBand="1" w:evenHBand="0" w:firstRowFirstColumn="0" w:firstRowLastColumn="0" w:lastRowFirstColumn="0" w:lastRowLastColumn="0"/>
            </w:pPr>
            <w:r w:rsidRPr="00A62C5F">
              <w:t>Alto</w:t>
            </w:r>
          </w:p>
        </w:tc>
        <w:tc>
          <w:tcPr>
            <w:tcW w:w="0" w:type="auto"/>
            <w:vAlign w:val="center"/>
          </w:tcPr>
          <w:p w14:paraId="557F6A6A" w14:textId="50D9DCE9" w:rsidR="00AE79F5" w:rsidRDefault="00A62C5F" w:rsidP="00A62C5F">
            <w:pPr>
              <w:jc w:val="center"/>
              <w:cnfStyle w:val="000000100000" w:firstRow="0" w:lastRow="0" w:firstColumn="0" w:lastColumn="0" w:oddVBand="0" w:evenVBand="0" w:oddHBand="1" w:evenHBand="0" w:firstRowFirstColumn="0" w:firstRowLastColumn="0" w:lastRowFirstColumn="0" w:lastRowLastColumn="0"/>
            </w:pPr>
            <w:r w:rsidRPr="00A62C5F">
              <w:t>Repositorios cloud (GitHub, GitLab, OneDrive), bases de datos NoSQL</w:t>
            </w:r>
          </w:p>
        </w:tc>
        <w:tc>
          <w:tcPr>
            <w:tcW w:w="0" w:type="auto"/>
            <w:vAlign w:val="center"/>
          </w:tcPr>
          <w:p w14:paraId="14223ACB" w14:textId="00C810AC" w:rsidR="00AE79F5" w:rsidRDefault="00A62C5F" w:rsidP="00A62C5F">
            <w:pPr>
              <w:jc w:val="center"/>
              <w:cnfStyle w:val="000000100000" w:firstRow="0" w:lastRow="0" w:firstColumn="0" w:lastColumn="0" w:oddVBand="0" w:evenVBand="0" w:oddHBand="1" w:evenHBand="0" w:firstRowFirstColumn="0" w:firstRowLastColumn="0" w:lastRowFirstColumn="0" w:lastRowLastColumn="0"/>
            </w:pPr>
            <w:r w:rsidRPr="00A62C5F">
              <w:t>Robo de propiedad intelectual, pérdida de competitividad</w:t>
            </w:r>
          </w:p>
        </w:tc>
      </w:tr>
      <w:tr w:rsidR="00AE79F5" w14:paraId="27A86222" w14:textId="77777777" w:rsidTr="00A62C5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3B86984F" w14:textId="347F4F41" w:rsidR="00AE79F5" w:rsidRDefault="00A62C5F" w:rsidP="00A62C5F">
            <w:pPr>
              <w:jc w:val="center"/>
            </w:pPr>
            <w:r w:rsidRPr="00A62C5F">
              <w:t>Administrativos</w:t>
            </w:r>
          </w:p>
        </w:tc>
        <w:tc>
          <w:tcPr>
            <w:tcW w:w="0" w:type="auto"/>
            <w:vAlign w:val="center"/>
          </w:tcPr>
          <w:p w14:paraId="358DE133" w14:textId="5DC74856"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Nóminas, contratos, convenios, presupuestos</w:t>
            </w:r>
          </w:p>
        </w:tc>
        <w:tc>
          <w:tcPr>
            <w:tcW w:w="0" w:type="auto"/>
            <w:vAlign w:val="center"/>
          </w:tcPr>
          <w:p w14:paraId="1F0522DE" w14:textId="054D5C2B"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Alto</w:t>
            </w:r>
          </w:p>
        </w:tc>
        <w:tc>
          <w:tcPr>
            <w:tcW w:w="0" w:type="auto"/>
            <w:vAlign w:val="center"/>
          </w:tcPr>
          <w:p w14:paraId="2317611D" w14:textId="17B31B00"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ERP institucional, bases de datos relacionales</w:t>
            </w:r>
          </w:p>
        </w:tc>
        <w:tc>
          <w:tcPr>
            <w:tcW w:w="0" w:type="auto"/>
            <w:vAlign w:val="center"/>
          </w:tcPr>
          <w:p w14:paraId="52F54D6E" w14:textId="263FCBDD"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Fraude, acceso indebido, sanciones legale</w:t>
            </w:r>
          </w:p>
        </w:tc>
      </w:tr>
      <w:tr w:rsidR="00AE79F5" w14:paraId="6124EE8C" w14:textId="77777777" w:rsidTr="00A62C5F">
        <w:trPr>
          <w:cnfStyle w:val="000000100000" w:firstRow="0" w:lastRow="0" w:firstColumn="0" w:lastColumn="0" w:oddVBand="0" w:evenVBand="0" w:oddHBand="1"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01C97EC8" w14:textId="4E92F87E" w:rsidR="00AE79F5" w:rsidRDefault="00A62C5F" w:rsidP="00A62C5F">
            <w:pPr>
              <w:jc w:val="center"/>
            </w:pPr>
            <w:r w:rsidRPr="00A62C5F">
              <w:t>Plataformas educativas</w:t>
            </w:r>
          </w:p>
        </w:tc>
        <w:tc>
          <w:tcPr>
            <w:tcW w:w="0" w:type="auto"/>
            <w:vAlign w:val="center"/>
          </w:tcPr>
          <w:p w14:paraId="2A117CA0" w14:textId="49179BC2" w:rsidR="00AE79F5" w:rsidRDefault="00A62C5F" w:rsidP="00A62C5F">
            <w:pPr>
              <w:jc w:val="center"/>
              <w:cnfStyle w:val="000000100000" w:firstRow="0" w:lastRow="0" w:firstColumn="0" w:lastColumn="0" w:oddVBand="0" w:evenVBand="0" w:oddHBand="1" w:evenHBand="0" w:firstRowFirstColumn="0" w:firstRowLastColumn="0" w:lastRowFirstColumn="0" w:lastRowLastColumn="0"/>
            </w:pPr>
            <w:r w:rsidRPr="00A62C5F">
              <w:t>Aulas virtuales, formularios internos, paneles de gestión</w:t>
            </w:r>
          </w:p>
        </w:tc>
        <w:tc>
          <w:tcPr>
            <w:tcW w:w="0" w:type="auto"/>
            <w:vAlign w:val="center"/>
          </w:tcPr>
          <w:p w14:paraId="7BE6C1EB" w14:textId="03D59512" w:rsidR="00AE79F5" w:rsidRDefault="00A62C5F" w:rsidP="00A62C5F">
            <w:pPr>
              <w:jc w:val="center"/>
              <w:cnfStyle w:val="000000100000" w:firstRow="0" w:lastRow="0" w:firstColumn="0" w:lastColumn="0" w:oddVBand="0" w:evenVBand="0" w:oddHBand="1" w:evenHBand="0" w:firstRowFirstColumn="0" w:firstRowLastColumn="0" w:lastRowFirstColumn="0" w:lastRowLastColumn="0"/>
            </w:pPr>
            <w:r w:rsidRPr="00A62C5F">
              <w:t>Alto</w:t>
            </w:r>
          </w:p>
        </w:tc>
        <w:tc>
          <w:tcPr>
            <w:tcW w:w="0" w:type="auto"/>
            <w:vAlign w:val="center"/>
          </w:tcPr>
          <w:p w14:paraId="5EAA4343" w14:textId="61987217" w:rsidR="00AE79F5" w:rsidRDefault="00A62C5F" w:rsidP="00A62C5F">
            <w:pPr>
              <w:jc w:val="center"/>
              <w:cnfStyle w:val="000000100000" w:firstRow="0" w:lastRow="0" w:firstColumn="0" w:lastColumn="0" w:oddVBand="0" w:evenVBand="0" w:oddHBand="1" w:evenHBand="0" w:firstRowFirstColumn="0" w:firstRowLastColumn="0" w:lastRowFirstColumn="0" w:lastRowLastColumn="0"/>
            </w:pPr>
            <w:r w:rsidRPr="00A62C5F">
              <w:t>Aplicaciones web, autenticación centralizada (Azure AD, Okta)</w:t>
            </w:r>
          </w:p>
        </w:tc>
        <w:tc>
          <w:tcPr>
            <w:tcW w:w="0" w:type="auto"/>
            <w:vAlign w:val="center"/>
          </w:tcPr>
          <w:p w14:paraId="44E35AF3" w14:textId="25EF94F8" w:rsidR="00AE79F5" w:rsidRDefault="00A62C5F" w:rsidP="00A62C5F">
            <w:pPr>
              <w:jc w:val="center"/>
              <w:cnfStyle w:val="000000100000" w:firstRow="0" w:lastRow="0" w:firstColumn="0" w:lastColumn="0" w:oddVBand="0" w:evenVBand="0" w:oddHBand="1" w:evenHBand="0" w:firstRowFirstColumn="0" w:firstRowLastColumn="0" w:lastRowFirstColumn="0" w:lastRowLastColumn="0"/>
            </w:pPr>
            <w:r w:rsidRPr="00A62C5F">
              <w:t>Accesos indebidos, interrupción de servicios</w:t>
            </w:r>
          </w:p>
        </w:tc>
      </w:tr>
      <w:tr w:rsidR="00AE79F5" w14:paraId="66CDA193" w14:textId="77777777" w:rsidTr="00A62C5F">
        <w:trPr>
          <w:jc w:val="center"/>
        </w:trPr>
        <w:tc>
          <w:tcPr>
            <w:cnfStyle w:val="001000000000" w:firstRow="0" w:lastRow="0" w:firstColumn="1" w:lastColumn="0" w:oddVBand="0" w:evenVBand="0" w:oddHBand="0" w:evenHBand="0" w:firstRowFirstColumn="0" w:firstRowLastColumn="0" w:lastRowFirstColumn="0" w:lastRowLastColumn="0"/>
            <w:tcW w:w="0" w:type="auto"/>
            <w:vAlign w:val="center"/>
          </w:tcPr>
          <w:p w14:paraId="60E05BA1" w14:textId="4FA6D80D" w:rsidR="00AE79F5" w:rsidRDefault="00A62C5F" w:rsidP="00A62C5F">
            <w:pPr>
              <w:jc w:val="center"/>
            </w:pPr>
            <w:r w:rsidRPr="00A62C5F">
              <w:t>Infraestructura tecnológica</w:t>
            </w:r>
          </w:p>
        </w:tc>
        <w:tc>
          <w:tcPr>
            <w:tcW w:w="0" w:type="auto"/>
            <w:vAlign w:val="center"/>
          </w:tcPr>
          <w:p w14:paraId="1A282979" w14:textId="5E5FE554"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Credenciales, configuraciones de servidores, logs de auditoría</w:t>
            </w:r>
          </w:p>
        </w:tc>
        <w:tc>
          <w:tcPr>
            <w:tcW w:w="0" w:type="auto"/>
            <w:vAlign w:val="center"/>
          </w:tcPr>
          <w:p w14:paraId="11CBD5B6" w14:textId="214D2CC8"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Alto</w:t>
            </w:r>
          </w:p>
        </w:tc>
        <w:tc>
          <w:tcPr>
            <w:tcW w:w="0" w:type="auto"/>
            <w:vAlign w:val="center"/>
          </w:tcPr>
          <w:p w14:paraId="53D256EC" w14:textId="753ABC41" w:rsidR="00AE79F5" w:rsidRPr="00A62C5F" w:rsidRDefault="00A62C5F" w:rsidP="00A62C5F">
            <w:pPr>
              <w:jc w:val="center"/>
              <w:cnfStyle w:val="000000000000" w:firstRow="0" w:lastRow="0" w:firstColumn="0" w:lastColumn="0" w:oddVBand="0" w:evenVBand="0" w:oddHBand="0" w:evenHBand="0" w:firstRowFirstColumn="0" w:firstRowLastColumn="0" w:lastRowFirstColumn="0" w:lastRowLastColumn="0"/>
              <w:rPr>
                <w:lang w:val="en-US"/>
              </w:rPr>
            </w:pPr>
            <w:r w:rsidRPr="00A62C5F">
              <w:rPr>
                <w:lang w:val="en-US"/>
              </w:rPr>
              <w:t>Backend (Node.js, Spring Boot, Django), SIEM, servicios cloud</w:t>
            </w:r>
          </w:p>
        </w:tc>
        <w:tc>
          <w:tcPr>
            <w:tcW w:w="0" w:type="auto"/>
            <w:vAlign w:val="center"/>
          </w:tcPr>
          <w:p w14:paraId="475D713A" w14:textId="667A0961" w:rsidR="00AE79F5" w:rsidRDefault="00A62C5F" w:rsidP="00A62C5F">
            <w:pPr>
              <w:jc w:val="center"/>
              <w:cnfStyle w:val="000000000000" w:firstRow="0" w:lastRow="0" w:firstColumn="0" w:lastColumn="0" w:oddVBand="0" w:evenVBand="0" w:oddHBand="0" w:evenHBand="0" w:firstRowFirstColumn="0" w:firstRowLastColumn="0" w:lastRowFirstColumn="0" w:lastRowLastColumn="0"/>
            </w:pPr>
            <w:r w:rsidRPr="00A62C5F">
              <w:t>Escalamiento de privilegios, pérdida de trazabilidad</w:t>
            </w:r>
          </w:p>
        </w:tc>
      </w:tr>
    </w:tbl>
    <w:p w14:paraId="28881B01" w14:textId="7CF745A6" w:rsidR="002D0B85" w:rsidRPr="002D0B85" w:rsidRDefault="002D0B85" w:rsidP="009A0CE3">
      <w:pPr>
        <w:pStyle w:val="Heading3"/>
        <w:jc w:val="both"/>
        <w:rPr>
          <w:rFonts w:ascii="Arial" w:eastAsia="Times New Roman" w:hAnsi="Arial" w:cs="Arial"/>
          <w:b/>
          <w:bCs/>
          <w:color w:val="1F497D"/>
          <w:kern w:val="0"/>
          <w:sz w:val="20"/>
          <w:szCs w:val="20"/>
          <w:lang w:eastAsia="es-SV"/>
          <w14:ligatures w14:val="none"/>
        </w:rPr>
        <w:sectPr w:rsidR="002D0B85" w:rsidRPr="002D0B85" w:rsidSect="002D0B85">
          <w:headerReference w:type="default" r:id="rId8"/>
          <w:pgSz w:w="15840" w:h="12240" w:orient="landscape"/>
          <w:pgMar w:top="1701" w:right="1418" w:bottom="284" w:left="1418" w:header="709" w:footer="709" w:gutter="0"/>
          <w:cols w:space="708"/>
          <w:docGrid w:linePitch="360"/>
        </w:sectPr>
      </w:pPr>
    </w:p>
    <w:p w14:paraId="6266534C" w14:textId="628755E6" w:rsidR="00CC0E28" w:rsidRPr="00E32A7A" w:rsidRDefault="00CC0E28" w:rsidP="00B651A2">
      <w:pPr>
        <w:rPr>
          <w:rFonts w:ascii="Arial" w:eastAsia="Museo Sans 300" w:hAnsi="Arial" w:cs="Arial"/>
          <w:color w:val="153D63" w:themeColor="text2" w:themeTint="E6"/>
          <w:sz w:val="28"/>
          <w:szCs w:val="28"/>
        </w:rPr>
      </w:pPr>
    </w:p>
    <w:sectPr w:rsidR="00CC0E28" w:rsidRPr="00E32A7A">
      <w:headerReference w:type="even" r:id="rId9"/>
      <w:headerReference w:type="default" r:id="rId10"/>
      <w:footerReference w:type="even" r:id="rId11"/>
      <w:footerReference w:type="default" r:id="rId12"/>
      <w:headerReference w:type="first" r:id="rId13"/>
      <w:footerReference w:type="first" r:id="rId14"/>
      <w:pgSz w:w="12240" w:h="15840"/>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6413B2" w14:textId="77777777" w:rsidR="00837061" w:rsidRPr="00B651A2" w:rsidRDefault="00837061" w:rsidP="00351BE8">
      <w:r w:rsidRPr="00B651A2">
        <w:separator/>
      </w:r>
    </w:p>
  </w:endnote>
  <w:endnote w:type="continuationSeparator" w:id="0">
    <w:p w14:paraId="2AC47E13" w14:textId="77777777" w:rsidR="00837061" w:rsidRPr="00B651A2" w:rsidRDefault="00837061" w:rsidP="00351BE8">
      <w:r w:rsidRPr="00B651A2">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venir Medium">
    <w:altName w:val="Calibri"/>
    <w:charset w:val="00"/>
    <w:family w:val="auto"/>
    <w:pitch w:val="variable"/>
    <w:sig w:usb0="800000AF" w:usb1="5000204A" w:usb2="00000000" w:usb3="00000000" w:csb0="0000009B" w:csb1="00000000"/>
  </w:font>
  <w:font w:name="Museo Sans 300">
    <w:altName w:val="Calibri"/>
    <w:panose1 w:val="00000000000000000000"/>
    <w:charset w:val="4D"/>
    <w:family w:val="auto"/>
    <w:notTrueType/>
    <w:pitch w:val="variable"/>
    <w:sig w:usb0="A00000AF" w:usb1="4000004A" w:usb2="00000000" w:usb3="00000000" w:csb0="00000093" w:csb1="00000000"/>
  </w:font>
  <w:font w:name="Museo Sans 900">
    <w:panose1 w:val="00000000000000000000"/>
    <w:charset w:val="4D"/>
    <w:family w:val="auto"/>
    <w:notTrueType/>
    <w:pitch w:val="variable"/>
    <w:sig w:usb0="A00000AF" w:usb1="4000004A" w:usb2="00000000" w:usb3="00000000" w:csb0="00000093"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altName w:val="Calibri"/>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CF211A" w14:textId="77777777" w:rsidR="00E86CC0" w:rsidRDefault="00E86CC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39FA9B" w14:textId="77777777" w:rsidR="00E86CC0" w:rsidRDefault="00E86CC0">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3C204" w14:textId="77777777" w:rsidR="00E86CC0" w:rsidRDefault="00E86CC0">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17E94A" w14:textId="77777777" w:rsidR="00837061" w:rsidRPr="00B651A2" w:rsidRDefault="00837061" w:rsidP="00351BE8">
      <w:r w:rsidRPr="00B651A2">
        <w:separator/>
      </w:r>
    </w:p>
  </w:footnote>
  <w:footnote w:type="continuationSeparator" w:id="0">
    <w:p w14:paraId="4C76073A" w14:textId="77777777" w:rsidR="00837061" w:rsidRPr="00B651A2" w:rsidRDefault="00837061" w:rsidP="00351BE8">
      <w:r w:rsidRPr="00B651A2">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720751" w14:textId="77777777" w:rsidR="002D0B85" w:rsidRPr="006F32E9" w:rsidRDefault="002D0B85" w:rsidP="006F32E9">
    <w:pPr>
      <w:pStyle w:val="Header"/>
    </w:pPr>
    <w:r>
      <w:rPr>
        <w:noProof/>
      </w:rPr>
      <w:drawing>
        <wp:anchor distT="0" distB="0" distL="114300" distR="114300" simplePos="0" relativeHeight="251660288" behindDoc="1" locked="0" layoutInCell="1" allowOverlap="1" wp14:anchorId="3CEF21E5" wp14:editId="3CF4360B">
          <wp:simplePos x="0" y="0"/>
          <wp:positionH relativeFrom="column">
            <wp:posOffset>-1083390</wp:posOffset>
          </wp:positionH>
          <wp:positionV relativeFrom="paragraph">
            <wp:posOffset>-452835</wp:posOffset>
          </wp:positionV>
          <wp:extent cx="7777281" cy="10064355"/>
          <wp:effectExtent l="0" t="0" r="0" b="0"/>
          <wp:wrapNone/>
          <wp:docPr id="1"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99998" cy="10093753"/>
                  </a:xfrm>
                  <a:prstGeom prst="rect">
                    <a:avLst/>
                  </a:prstGeom>
                </pic:spPr>
              </pic:pic>
            </a:graphicData>
          </a:graphic>
          <wp14:sizeRelH relativeFrom="page">
            <wp14:pctWidth>0</wp14:pctWidth>
          </wp14:sizeRelH>
          <wp14:sizeRelV relativeFrom="page">
            <wp14:pctHeight>0</wp14:pctHeight>
          </wp14:sizeRelV>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5C2C35" w14:textId="77777777" w:rsidR="00E86CC0" w:rsidRDefault="00E86CC0">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F38D55" w14:textId="63AEBA9A" w:rsidR="00394004" w:rsidRPr="00B651A2" w:rsidRDefault="006F32E9" w:rsidP="00FD4D79">
    <w:pPr>
      <w:pStyle w:val="Header"/>
      <w:tabs>
        <w:tab w:val="clear" w:pos="4419"/>
        <w:tab w:val="clear" w:pos="8838"/>
        <w:tab w:val="left" w:pos="1740"/>
      </w:tabs>
    </w:pPr>
    <w:r w:rsidRPr="00B651A2">
      <w:rPr>
        <w:noProof/>
      </w:rPr>
      <w:drawing>
        <wp:anchor distT="0" distB="0" distL="114300" distR="114300" simplePos="0" relativeHeight="251658240" behindDoc="1" locked="0" layoutInCell="1" allowOverlap="1" wp14:anchorId="67E228DA" wp14:editId="17313AFC">
          <wp:simplePos x="0" y="0"/>
          <wp:positionH relativeFrom="page">
            <wp:align>left</wp:align>
          </wp:positionH>
          <wp:positionV relativeFrom="paragraph">
            <wp:posOffset>-449580</wp:posOffset>
          </wp:positionV>
          <wp:extent cx="7776845" cy="10063791"/>
          <wp:effectExtent l="0" t="0" r="0" b="0"/>
          <wp:wrapNone/>
          <wp:docPr id="533964862"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9015734" name="Imagen 709015734"/>
                  <pic:cNvPicPr/>
                </pic:nvPicPr>
                <pic:blipFill>
                  <a:blip r:embed="rId1">
                    <a:extLst>
                      <a:ext uri="{28A0092B-C50C-407E-A947-70E740481C1C}">
                        <a14:useLocalDpi xmlns:a14="http://schemas.microsoft.com/office/drawing/2010/main" val="0"/>
                      </a:ext>
                    </a:extLst>
                  </a:blip>
                  <a:stretch>
                    <a:fillRect/>
                  </a:stretch>
                </pic:blipFill>
                <pic:spPr>
                  <a:xfrm>
                    <a:off x="0" y="0"/>
                    <a:ext cx="7776845" cy="10063791"/>
                  </a:xfrm>
                  <a:prstGeom prst="rect">
                    <a:avLst/>
                  </a:prstGeom>
                </pic:spPr>
              </pic:pic>
            </a:graphicData>
          </a:graphic>
          <wp14:sizeRelH relativeFrom="page">
            <wp14:pctWidth>0</wp14:pctWidth>
          </wp14:sizeRelH>
          <wp14:sizeRelV relativeFrom="page">
            <wp14:pctHeight>0</wp14:pctHeight>
          </wp14:sizeRelV>
        </wp:anchor>
      </w:drawing>
    </w:r>
    <w:r w:rsidR="00FD4D79">
      <w:tab/>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6D99B" w14:textId="77777777" w:rsidR="00E86CC0" w:rsidRDefault="00E86CC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10184C"/>
    <w:multiLevelType w:val="multilevel"/>
    <w:tmpl w:val="AC640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5CD20A9"/>
    <w:multiLevelType w:val="multilevel"/>
    <w:tmpl w:val="7D0EE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8A52F05"/>
    <w:multiLevelType w:val="hybridMultilevel"/>
    <w:tmpl w:val="2730B0DC"/>
    <w:lvl w:ilvl="0" w:tplc="03867F48">
      <w:numFmt w:val="bullet"/>
      <w:lvlText w:val="-"/>
      <w:lvlJc w:val="left"/>
      <w:pPr>
        <w:ind w:left="720" w:hanging="360"/>
      </w:pPr>
      <w:rPr>
        <w:rFonts w:ascii="Avenir Medium" w:eastAsia="Museo Sans 300" w:hAnsi="Avenir Medium" w:cs="Museo Sans 300"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3" w15:restartNumberingAfterBreak="0">
    <w:nsid w:val="1A7651E3"/>
    <w:multiLevelType w:val="multilevel"/>
    <w:tmpl w:val="61BA8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AC81653"/>
    <w:multiLevelType w:val="hybridMultilevel"/>
    <w:tmpl w:val="B32C470A"/>
    <w:lvl w:ilvl="0" w:tplc="440A0001">
      <w:start w:val="1"/>
      <w:numFmt w:val="bullet"/>
      <w:lvlText w:val=""/>
      <w:lvlJc w:val="left"/>
      <w:pPr>
        <w:ind w:left="720" w:hanging="360"/>
      </w:pPr>
      <w:rPr>
        <w:rFonts w:ascii="Symbol" w:hAnsi="Symbol" w:hint="default"/>
      </w:rPr>
    </w:lvl>
    <w:lvl w:ilvl="1" w:tplc="440A0003">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5" w15:restartNumberingAfterBreak="0">
    <w:nsid w:val="2FE93963"/>
    <w:multiLevelType w:val="multilevel"/>
    <w:tmpl w:val="ABD4951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2134733"/>
    <w:multiLevelType w:val="multilevel"/>
    <w:tmpl w:val="63729D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446A1D"/>
    <w:multiLevelType w:val="multilevel"/>
    <w:tmpl w:val="6108C97A"/>
    <w:lvl w:ilvl="0">
      <w:start w:val="1"/>
      <w:numFmt w:val="decimal"/>
      <w:lvlText w:val="Art.%1 -"/>
      <w:lvlJc w:val="left"/>
      <w:pPr>
        <w:ind w:left="360" w:hanging="360"/>
      </w:pPr>
      <w:rPr>
        <w:rFonts w:ascii="Museo Sans 900" w:eastAsia="Arial" w:hAnsi="Museo Sans 900" w:cs="Arial"/>
        <w:b/>
        <w:i/>
        <w:color w:val="1F3864"/>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8" w15:restartNumberingAfterBreak="0">
    <w:nsid w:val="3F195D54"/>
    <w:multiLevelType w:val="hybridMultilevel"/>
    <w:tmpl w:val="44586AD0"/>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9" w15:restartNumberingAfterBreak="0">
    <w:nsid w:val="3F6E189E"/>
    <w:multiLevelType w:val="multilevel"/>
    <w:tmpl w:val="6108C97A"/>
    <w:lvl w:ilvl="0">
      <w:start w:val="1"/>
      <w:numFmt w:val="decimal"/>
      <w:lvlText w:val="Art.%1 -"/>
      <w:lvlJc w:val="left"/>
      <w:pPr>
        <w:ind w:left="2160" w:hanging="360"/>
      </w:pPr>
      <w:rPr>
        <w:rFonts w:ascii="Arial" w:eastAsia="Arial" w:hAnsi="Arial" w:cs="Arial"/>
        <w:b/>
        <w:i/>
        <w:u w:val="none"/>
      </w:rPr>
    </w:lvl>
    <w:lvl w:ilvl="1">
      <w:start w:val="1"/>
      <w:numFmt w:val="lowerLetter"/>
      <w:lvlText w:val="%2."/>
      <w:lvlJc w:val="left"/>
      <w:pPr>
        <w:ind w:left="2880" w:hanging="360"/>
      </w:pPr>
      <w:rPr>
        <w:u w:val="none"/>
      </w:rPr>
    </w:lvl>
    <w:lvl w:ilvl="2">
      <w:start w:val="1"/>
      <w:numFmt w:val="bullet"/>
      <w:lvlText w:val="●"/>
      <w:lvlJc w:val="left"/>
      <w:pPr>
        <w:ind w:left="3600" w:hanging="360"/>
      </w:pPr>
      <w:rPr>
        <w:u w:val="none"/>
      </w:rPr>
    </w:lvl>
    <w:lvl w:ilvl="3">
      <w:start w:val="1"/>
      <w:numFmt w:val="decimal"/>
      <w:lvlText w:val="%4."/>
      <w:lvlJc w:val="left"/>
      <w:pPr>
        <w:ind w:left="4320" w:hanging="360"/>
      </w:pPr>
      <w:rPr>
        <w:u w:val="none"/>
      </w:rPr>
    </w:lvl>
    <w:lvl w:ilvl="4">
      <w:start w:val="1"/>
      <w:numFmt w:val="lowerLetter"/>
      <w:lvlText w:val="%5."/>
      <w:lvlJc w:val="left"/>
      <w:pPr>
        <w:ind w:left="5040" w:hanging="360"/>
      </w:pPr>
      <w:rPr>
        <w:u w:val="none"/>
      </w:rPr>
    </w:lvl>
    <w:lvl w:ilvl="5">
      <w:start w:val="1"/>
      <w:numFmt w:val="lowerRoman"/>
      <w:lvlText w:val="%6."/>
      <w:lvlJc w:val="right"/>
      <w:pPr>
        <w:ind w:left="5760" w:hanging="360"/>
      </w:pPr>
      <w:rPr>
        <w:u w:val="none"/>
      </w:rPr>
    </w:lvl>
    <w:lvl w:ilvl="6">
      <w:start w:val="1"/>
      <w:numFmt w:val="decimal"/>
      <w:lvlText w:val="%7."/>
      <w:lvlJc w:val="left"/>
      <w:pPr>
        <w:ind w:left="6480" w:hanging="360"/>
      </w:pPr>
      <w:rPr>
        <w:u w:val="none"/>
      </w:rPr>
    </w:lvl>
    <w:lvl w:ilvl="7">
      <w:start w:val="1"/>
      <w:numFmt w:val="lowerLetter"/>
      <w:lvlText w:val="%8."/>
      <w:lvlJc w:val="left"/>
      <w:pPr>
        <w:ind w:left="7200" w:hanging="360"/>
      </w:pPr>
      <w:rPr>
        <w:u w:val="none"/>
      </w:rPr>
    </w:lvl>
    <w:lvl w:ilvl="8">
      <w:start w:val="1"/>
      <w:numFmt w:val="lowerRoman"/>
      <w:lvlText w:val="%9."/>
      <w:lvlJc w:val="right"/>
      <w:pPr>
        <w:ind w:left="7920" w:hanging="360"/>
      </w:pPr>
      <w:rPr>
        <w:u w:val="none"/>
      </w:rPr>
    </w:lvl>
  </w:abstractNum>
  <w:abstractNum w:abstractNumId="10" w15:restartNumberingAfterBreak="0">
    <w:nsid w:val="401F2860"/>
    <w:multiLevelType w:val="hybridMultilevel"/>
    <w:tmpl w:val="5F8E343C"/>
    <w:lvl w:ilvl="0" w:tplc="440A0001">
      <w:start w:val="1"/>
      <w:numFmt w:val="bullet"/>
      <w:lvlText w:val=""/>
      <w:lvlJc w:val="left"/>
      <w:pPr>
        <w:ind w:left="1080" w:hanging="360"/>
      </w:pPr>
      <w:rPr>
        <w:rFonts w:ascii="Symbol" w:hAnsi="Symbol" w:hint="default"/>
      </w:rPr>
    </w:lvl>
    <w:lvl w:ilvl="1" w:tplc="440A0003" w:tentative="1">
      <w:start w:val="1"/>
      <w:numFmt w:val="bullet"/>
      <w:lvlText w:val="o"/>
      <w:lvlJc w:val="left"/>
      <w:pPr>
        <w:ind w:left="1800" w:hanging="360"/>
      </w:pPr>
      <w:rPr>
        <w:rFonts w:ascii="Courier New" w:hAnsi="Courier New" w:cs="Courier New" w:hint="default"/>
      </w:rPr>
    </w:lvl>
    <w:lvl w:ilvl="2" w:tplc="440A0005" w:tentative="1">
      <w:start w:val="1"/>
      <w:numFmt w:val="bullet"/>
      <w:lvlText w:val=""/>
      <w:lvlJc w:val="left"/>
      <w:pPr>
        <w:ind w:left="2520" w:hanging="360"/>
      </w:pPr>
      <w:rPr>
        <w:rFonts w:ascii="Wingdings" w:hAnsi="Wingdings" w:hint="default"/>
      </w:rPr>
    </w:lvl>
    <w:lvl w:ilvl="3" w:tplc="440A0001" w:tentative="1">
      <w:start w:val="1"/>
      <w:numFmt w:val="bullet"/>
      <w:lvlText w:val=""/>
      <w:lvlJc w:val="left"/>
      <w:pPr>
        <w:ind w:left="3240" w:hanging="360"/>
      </w:pPr>
      <w:rPr>
        <w:rFonts w:ascii="Symbol" w:hAnsi="Symbol" w:hint="default"/>
      </w:rPr>
    </w:lvl>
    <w:lvl w:ilvl="4" w:tplc="440A0003" w:tentative="1">
      <w:start w:val="1"/>
      <w:numFmt w:val="bullet"/>
      <w:lvlText w:val="o"/>
      <w:lvlJc w:val="left"/>
      <w:pPr>
        <w:ind w:left="3960" w:hanging="360"/>
      </w:pPr>
      <w:rPr>
        <w:rFonts w:ascii="Courier New" w:hAnsi="Courier New" w:cs="Courier New" w:hint="default"/>
      </w:rPr>
    </w:lvl>
    <w:lvl w:ilvl="5" w:tplc="440A0005" w:tentative="1">
      <w:start w:val="1"/>
      <w:numFmt w:val="bullet"/>
      <w:lvlText w:val=""/>
      <w:lvlJc w:val="left"/>
      <w:pPr>
        <w:ind w:left="4680" w:hanging="360"/>
      </w:pPr>
      <w:rPr>
        <w:rFonts w:ascii="Wingdings" w:hAnsi="Wingdings" w:hint="default"/>
      </w:rPr>
    </w:lvl>
    <w:lvl w:ilvl="6" w:tplc="440A0001" w:tentative="1">
      <w:start w:val="1"/>
      <w:numFmt w:val="bullet"/>
      <w:lvlText w:val=""/>
      <w:lvlJc w:val="left"/>
      <w:pPr>
        <w:ind w:left="5400" w:hanging="360"/>
      </w:pPr>
      <w:rPr>
        <w:rFonts w:ascii="Symbol" w:hAnsi="Symbol" w:hint="default"/>
      </w:rPr>
    </w:lvl>
    <w:lvl w:ilvl="7" w:tplc="440A0003" w:tentative="1">
      <w:start w:val="1"/>
      <w:numFmt w:val="bullet"/>
      <w:lvlText w:val="o"/>
      <w:lvlJc w:val="left"/>
      <w:pPr>
        <w:ind w:left="6120" w:hanging="360"/>
      </w:pPr>
      <w:rPr>
        <w:rFonts w:ascii="Courier New" w:hAnsi="Courier New" w:cs="Courier New" w:hint="default"/>
      </w:rPr>
    </w:lvl>
    <w:lvl w:ilvl="8" w:tplc="440A0005" w:tentative="1">
      <w:start w:val="1"/>
      <w:numFmt w:val="bullet"/>
      <w:lvlText w:val=""/>
      <w:lvlJc w:val="left"/>
      <w:pPr>
        <w:ind w:left="6840" w:hanging="360"/>
      </w:pPr>
      <w:rPr>
        <w:rFonts w:ascii="Wingdings" w:hAnsi="Wingdings" w:hint="default"/>
      </w:rPr>
    </w:lvl>
  </w:abstractNum>
  <w:abstractNum w:abstractNumId="11" w15:restartNumberingAfterBreak="0">
    <w:nsid w:val="45521072"/>
    <w:multiLevelType w:val="hybridMultilevel"/>
    <w:tmpl w:val="22F6AE26"/>
    <w:lvl w:ilvl="0" w:tplc="440A000F">
      <w:start w:val="1"/>
      <w:numFmt w:val="decimal"/>
      <w:lvlText w:val="%1."/>
      <w:lvlJc w:val="left"/>
      <w:pPr>
        <w:ind w:left="1080" w:hanging="360"/>
      </w:pPr>
    </w:lvl>
    <w:lvl w:ilvl="1" w:tplc="440A0019" w:tentative="1">
      <w:start w:val="1"/>
      <w:numFmt w:val="lowerLetter"/>
      <w:lvlText w:val="%2."/>
      <w:lvlJc w:val="left"/>
      <w:pPr>
        <w:ind w:left="1800" w:hanging="360"/>
      </w:pPr>
    </w:lvl>
    <w:lvl w:ilvl="2" w:tplc="440A001B" w:tentative="1">
      <w:start w:val="1"/>
      <w:numFmt w:val="lowerRoman"/>
      <w:lvlText w:val="%3."/>
      <w:lvlJc w:val="right"/>
      <w:pPr>
        <w:ind w:left="2520" w:hanging="180"/>
      </w:pPr>
    </w:lvl>
    <w:lvl w:ilvl="3" w:tplc="440A000F" w:tentative="1">
      <w:start w:val="1"/>
      <w:numFmt w:val="decimal"/>
      <w:lvlText w:val="%4."/>
      <w:lvlJc w:val="left"/>
      <w:pPr>
        <w:ind w:left="3240" w:hanging="360"/>
      </w:pPr>
    </w:lvl>
    <w:lvl w:ilvl="4" w:tplc="440A0019" w:tentative="1">
      <w:start w:val="1"/>
      <w:numFmt w:val="lowerLetter"/>
      <w:lvlText w:val="%5."/>
      <w:lvlJc w:val="left"/>
      <w:pPr>
        <w:ind w:left="3960" w:hanging="360"/>
      </w:pPr>
    </w:lvl>
    <w:lvl w:ilvl="5" w:tplc="440A001B" w:tentative="1">
      <w:start w:val="1"/>
      <w:numFmt w:val="lowerRoman"/>
      <w:lvlText w:val="%6."/>
      <w:lvlJc w:val="right"/>
      <w:pPr>
        <w:ind w:left="4680" w:hanging="180"/>
      </w:pPr>
    </w:lvl>
    <w:lvl w:ilvl="6" w:tplc="440A000F" w:tentative="1">
      <w:start w:val="1"/>
      <w:numFmt w:val="decimal"/>
      <w:lvlText w:val="%7."/>
      <w:lvlJc w:val="left"/>
      <w:pPr>
        <w:ind w:left="5400" w:hanging="360"/>
      </w:pPr>
    </w:lvl>
    <w:lvl w:ilvl="7" w:tplc="440A0019" w:tentative="1">
      <w:start w:val="1"/>
      <w:numFmt w:val="lowerLetter"/>
      <w:lvlText w:val="%8."/>
      <w:lvlJc w:val="left"/>
      <w:pPr>
        <w:ind w:left="6120" w:hanging="360"/>
      </w:pPr>
    </w:lvl>
    <w:lvl w:ilvl="8" w:tplc="440A001B" w:tentative="1">
      <w:start w:val="1"/>
      <w:numFmt w:val="lowerRoman"/>
      <w:lvlText w:val="%9."/>
      <w:lvlJc w:val="right"/>
      <w:pPr>
        <w:ind w:left="6840" w:hanging="180"/>
      </w:pPr>
    </w:lvl>
  </w:abstractNum>
  <w:abstractNum w:abstractNumId="12" w15:restartNumberingAfterBreak="0">
    <w:nsid w:val="4E5272EC"/>
    <w:multiLevelType w:val="hybridMultilevel"/>
    <w:tmpl w:val="539E50D2"/>
    <w:lvl w:ilvl="0" w:tplc="03867F48">
      <w:numFmt w:val="bullet"/>
      <w:lvlText w:val="-"/>
      <w:lvlJc w:val="left"/>
      <w:pPr>
        <w:ind w:left="720" w:hanging="360"/>
      </w:pPr>
      <w:rPr>
        <w:rFonts w:ascii="Avenir Medium" w:eastAsia="Museo Sans 300" w:hAnsi="Avenir Medium" w:cs="Museo Sans 300"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3" w15:restartNumberingAfterBreak="0">
    <w:nsid w:val="527B09A6"/>
    <w:multiLevelType w:val="multilevel"/>
    <w:tmpl w:val="BD3C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030DA4"/>
    <w:multiLevelType w:val="hybridMultilevel"/>
    <w:tmpl w:val="623270D6"/>
    <w:lvl w:ilvl="0" w:tplc="03867F48">
      <w:numFmt w:val="bullet"/>
      <w:lvlText w:val="-"/>
      <w:lvlJc w:val="left"/>
      <w:pPr>
        <w:ind w:left="720" w:hanging="360"/>
      </w:pPr>
      <w:rPr>
        <w:rFonts w:ascii="Avenir Medium" w:eastAsia="Museo Sans 300" w:hAnsi="Avenir Medium" w:cs="Museo Sans 300"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5" w15:restartNumberingAfterBreak="0">
    <w:nsid w:val="5A5D6EA0"/>
    <w:multiLevelType w:val="multilevel"/>
    <w:tmpl w:val="654C7E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FF32681"/>
    <w:multiLevelType w:val="hybridMultilevel"/>
    <w:tmpl w:val="B2AE5832"/>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17" w15:restartNumberingAfterBreak="0">
    <w:nsid w:val="656D5A16"/>
    <w:multiLevelType w:val="multilevel"/>
    <w:tmpl w:val="ACB65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CC6373B"/>
    <w:multiLevelType w:val="multilevel"/>
    <w:tmpl w:val="1898F3B8"/>
    <w:lvl w:ilvl="0">
      <w:start w:val="1"/>
      <w:numFmt w:val="upperRoman"/>
      <w:lvlText w:val="%1."/>
      <w:lvlJc w:val="left"/>
      <w:pPr>
        <w:ind w:left="1080" w:hanging="72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9" w15:restartNumberingAfterBreak="0">
    <w:nsid w:val="723E0689"/>
    <w:multiLevelType w:val="hybridMultilevel"/>
    <w:tmpl w:val="CB6684B4"/>
    <w:lvl w:ilvl="0" w:tplc="440A0001">
      <w:start w:val="1"/>
      <w:numFmt w:val="bullet"/>
      <w:lvlText w:val=""/>
      <w:lvlJc w:val="left"/>
      <w:pPr>
        <w:ind w:left="720" w:hanging="360"/>
      </w:pPr>
      <w:rPr>
        <w:rFonts w:ascii="Symbol" w:hAnsi="Symbol"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0" w15:restartNumberingAfterBreak="0">
    <w:nsid w:val="72711C04"/>
    <w:multiLevelType w:val="multilevel"/>
    <w:tmpl w:val="DF52F2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51C0155"/>
    <w:multiLevelType w:val="hybridMultilevel"/>
    <w:tmpl w:val="48AECD1E"/>
    <w:lvl w:ilvl="0" w:tplc="4C386A38">
      <w:numFmt w:val="bullet"/>
      <w:lvlText w:val="-"/>
      <w:lvlJc w:val="left"/>
      <w:pPr>
        <w:ind w:left="720" w:hanging="360"/>
      </w:pPr>
      <w:rPr>
        <w:rFonts w:ascii="Avenir Medium" w:eastAsia="Museo Sans 300" w:hAnsi="Avenir Medium" w:cs="Museo Sans 300" w:hint="default"/>
      </w:rPr>
    </w:lvl>
    <w:lvl w:ilvl="1" w:tplc="440A0003" w:tentative="1">
      <w:start w:val="1"/>
      <w:numFmt w:val="bullet"/>
      <w:lvlText w:val="o"/>
      <w:lvlJc w:val="left"/>
      <w:pPr>
        <w:ind w:left="1440" w:hanging="360"/>
      </w:pPr>
      <w:rPr>
        <w:rFonts w:ascii="Courier New" w:hAnsi="Courier New" w:cs="Courier New" w:hint="default"/>
      </w:rPr>
    </w:lvl>
    <w:lvl w:ilvl="2" w:tplc="440A0005" w:tentative="1">
      <w:start w:val="1"/>
      <w:numFmt w:val="bullet"/>
      <w:lvlText w:val=""/>
      <w:lvlJc w:val="left"/>
      <w:pPr>
        <w:ind w:left="2160" w:hanging="360"/>
      </w:pPr>
      <w:rPr>
        <w:rFonts w:ascii="Wingdings" w:hAnsi="Wingdings" w:hint="default"/>
      </w:rPr>
    </w:lvl>
    <w:lvl w:ilvl="3" w:tplc="440A0001" w:tentative="1">
      <w:start w:val="1"/>
      <w:numFmt w:val="bullet"/>
      <w:lvlText w:val=""/>
      <w:lvlJc w:val="left"/>
      <w:pPr>
        <w:ind w:left="2880" w:hanging="360"/>
      </w:pPr>
      <w:rPr>
        <w:rFonts w:ascii="Symbol" w:hAnsi="Symbol" w:hint="default"/>
      </w:rPr>
    </w:lvl>
    <w:lvl w:ilvl="4" w:tplc="440A0003" w:tentative="1">
      <w:start w:val="1"/>
      <w:numFmt w:val="bullet"/>
      <w:lvlText w:val="o"/>
      <w:lvlJc w:val="left"/>
      <w:pPr>
        <w:ind w:left="3600" w:hanging="360"/>
      </w:pPr>
      <w:rPr>
        <w:rFonts w:ascii="Courier New" w:hAnsi="Courier New" w:cs="Courier New" w:hint="default"/>
      </w:rPr>
    </w:lvl>
    <w:lvl w:ilvl="5" w:tplc="440A0005" w:tentative="1">
      <w:start w:val="1"/>
      <w:numFmt w:val="bullet"/>
      <w:lvlText w:val=""/>
      <w:lvlJc w:val="left"/>
      <w:pPr>
        <w:ind w:left="4320" w:hanging="360"/>
      </w:pPr>
      <w:rPr>
        <w:rFonts w:ascii="Wingdings" w:hAnsi="Wingdings" w:hint="default"/>
      </w:rPr>
    </w:lvl>
    <w:lvl w:ilvl="6" w:tplc="440A0001" w:tentative="1">
      <w:start w:val="1"/>
      <w:numFmt w:val="bullet"/>
      <w:lvlText w:val=""/>
      <w:lvlJc w:val="left"/>
      <w:pPr>
        <w:ind w:left="5040" w:hanging="360"/>
      </w:pPr>
      <w:rPr>
        <w:rFonts w:ascii="Symbol" w:hAnsi="Symbol" w:hint="default"/>
      </w:rPr>
    </w:lvl>
    <w:lvl w:ilvl="7" w:tplc="440A0003" w:tentative="1">
      <w:start w:val="1"/>
      <w:numFmt w:val="bullet"/>
      <w:lvlText w:val="o"/>
      <w:lvlJc w:val="left"/>
      <w:pPr>
        <w:ind w:left="5760" w:hanging="360"/>
      </w:pPr>
      <w:rPr>
        <w:rFonts w:ascii="Courier New" w:hAnsi="Courier New" w:cs="Courier New" w:hint="default"/>
      </w:rPr>
    </w:lvl>
    <w:lvl w:ilvl="8" w:tplc="440A0005" w:tentative="1">
      <w:start w:val="1"/>
      <w:numFmt w:val="bullet"/>
      <w:lvlText w:val=""/>
      <w:lvlJc w:val="left"/>
      <w:pPr>
        <w:ind w:left="6480" w:hanging="360"/>
      </w:pPr>
      <w:rPr>
        <w:rFonts w:ascii="Wingdings" w:hAnsi="Wingdings" w:hint="default"/>
      </w:rPr>
    </w:lvl>
  </w:abstractNum>
  <w:abstractNum w:abstractNumId="22" w15:restartNumberingAfterBreak="0">
    <w:nsid w:val="7774775D"/>
    <w:multiLevelType w:val="multilevel"/>
    <w:tmpl w:val="0EBC971E"/>
    <w:styleLink w:val="Estilo1"/>
    <w:lvl w:ilvl="0">
      <w:start w:val="1"/>
      <w:numFmt w:val="decimal"/>
      <w:isLgl/>
      <w:lvlText w:val="%1"/>
      <w:lvlJc w:val="left"/>
      <w:pPr>
        <w:ind w:left="360" w:hanging="360"/>
      </w:pPr>
      <w:rPr>
        <w:rFonts w:ascii="Times New Roman" w:eastAsia="Arial" w:hAnsi="Times New Roman" w:cs="Times New Roman" w:hint="default"/>
        <w:b/>
        <w:i/>
        <w:u w:val="none"/>
      </w:rPr>
    </w:lvl>
    <w:lvl w:ilvl="1">
      <w:start w:val="1"/>
      <w:numFmt w:val="lowerLetter"/>
      <w:lvlText w:val="%2."/>
      <w:lvlJc w:val="left"/>
      <w:pPr>
        <w:ind w:left="2880" w:hanging="360"/>
      </w:pPr>
      <w:rPr>
        <w:rFonts w:hint="default"/>
        <w:u w:val="none"/>
      </w:rPr>
    </w:lvl>
    <w:lvl w:ilvl="2">
      <w:start w:val="1"/>
      <w:numFmt w:val="bullet"/>
      <w:lvlText w:val="●"/>
      <w:lvlJc w:val="left"/>
      <w:pPr>
        <w:ind w:left="3600" w:hanging="360"/>
      </w:pPr>
      <w:rPr>
        <w:rFonts w:hint="default"/>
        <w:u w:val="none"/>
      </w:rPr>
    </w:lvl>
    <w:lvl w:ilvl="3">
      <w:start w:val="1"/>
      <w:numFmt w:val="decimal"/>
      <w:lvlText w:val="%4."/>
      <w:lvlJc w:val="left"/>
      <w:pPr>
        <w:ind w:left="4320" w:hanging="360"/>
      </w:pPr>
      <w:rPr>
        <w:rFonts w:hint="default"/>
        <w:u w:val="none"/>
      </w:rPr>
    </w:lvl>
    <w:lvl w:ilvl="4">
      <w:start w:val="1"/>
      <w:numFmt w:val="lowerLetter"/>
      <w:lvlText w:val="%5."/>
      <w:lvlJc w:val="left"/>
      <w:pPr>
        <w:ind w:left="5040" w:hanging="360"/>
      </w:pPr>
      <w:rPr>
        <w:rFonts w:hint="default"/>
        <w:u w:val="none"/>
      </w:rPr>
    </w:lvl>
    <w:lvl w:ilvl="5">
      <w:start w:val="1"/>
      <w:numFmt w:val="lowerRoman"/>
      <w:lvlText w:val="%6."/>
      <w:lvlJc w:val="right"/>
      <w:pPr>
        <w:ind w:left="5760" w:hanging="360"/>
      </w:pPr>
      <w:rPr>
        <w:rFonts w:hint="default"/>
        <w:u w:val="none"/>
      </w:rPr>
    </w:lvl>
    <w:lvl w:ilvl="6">
      <w:start w:val="1"/>
      <w:numFmt w:val="decimal"/>
      <w:lvlText w:val="%7."/>
      <w:lvlJc w:val="left"/>
      <w:pPr>
        <w:ind w:left="6480" w:hanging="360"/>
      </w:pPr>
      <w:rPr>
        <w:rFonts w:hint="default"/>
        <w:u w:val="none"/>
      </w:rPr>
    </w:lvl>
    <w:lvl w:ilvl="7">
      <w:start w:val="1"/>
      <w:numFmt w:val="lowerLetter"/>
      <w:lvlText w:val="%8."/>
      <w:lvlJc w:val="left"/>
      <w:pPr>
        <w:ind w:left="7200" w:hanging="360"/>
      </w:pPr>
      <w:rPr>
        <w:rFonts w:hint="default"/>
        <w:u w:val="none"/>
      </w:rPr>
    </w:lvl>
    <w:lvl w:ilvl="8">
      <w:start w:val="1"/>
      <w:numFmt w:val="lowerRoman"/>
      <w:lvlText w:val="%9."/>
      <w:lvlJc w:val="right"/>
      <w:pPr>
        <w:ind w:left="7920" w:hanging="360"/>
      </w:pPr>
      <w:rPr>
        <w:rFonts w:hint="default"/>
        <w:u w:val="none"/>
      </w:rPr>
    </w:lvl>
  </w:abstractNum>
  <w:num w:numId="1" w16cid:durableId="1145512292">
    <w:abstractNumId w:val="7"/>
  </w:num>
  <w:num w:numId="2" w16cid:durableId="131289492">
    <w:abstractNumId w:val="9"/>
  </w:num>
  <w:num w:numId="3" w16cid:durableId="457259563">
    <w:abstractNumId w:val="22"/>
  </w:num>
  <w:num w:numId="4" w16cid:durableId="437140375">
    <w:abstractNumId w:val="18"/>
  </w:num>
  <w:num w:numId="5" w16cid:durableId="136649243">
    <w:abstractNumId w:val="8"/>
  </w:num>
  <w:num w:numId="6" w16cid:durableId="2118791992">
    <w:abstractNumId w:val="21"/>
  </w:num>
  <w:num w:numId="7" w16cid:durableId="450981596">
    <w:abstractNumId w:val="16"/>
  </w:num>
  <w:num w:numId="8" w16cid:durableId="682363429">
    <w:abstractNumId w:val="12"/>
  </w:num>
  <w:num w:numId="9" w16cid:durableId="60443745">
    <w:abstractNumId w:val="2"/>
  </w:num>
  <w:num w:numId="10" w16cid:durableId="689181180">
    <w:abstractNumId w:val="14"/>
  </w:num>
  <w:num w:numId="11" w16cid:durableId="420180594">
    <w:abstractNumId w:val="10"/>
  </w:num>
  <w:num w:numId="12" w16cid:durableId="822311262">
    <w:abstractNumId w:val="19"/>
  </w:num>
  <w:num w:numId="13" w16cid:durableId="2094549386">
    <w:abstractNumId w:val="17"/>
  </w:num>
  <w:num w:numId="14" w16cid:durableId="1406301450">
    <w:abstractNumId w:val="1"/>
  </w:num>
  <w:num w:numId="15" w16cid:durableId="25952535">
    <w:abstractNumId w:val="13"/>
  </w:num>
  <w:num w:numId="16" w16cid:durableId="749426441">
    <w:abstractNumId w:val="6"/>
  </w:num>
  <w:num w:numId="17" w16cid:durableId="252787003">
    <w:abstractNumId w:val="3"/>
  </w:num>
  <w:num w:numId="18" w16cid:durableId="445776657">
    <w:abstractNumId w:val="5"/>
  </w:num>
  <w:num w:numId="19" w16cid:durableId="1480731601">
    <w:abstractNumId w:val="0"/>
  </w:num>
  <w:num w:numId="20" w16cid:durableId="166408922">
    <w:abstractNumId w:val="15"/>
  </w:num>
  <w:num w:numId="21" w16cid:durableId="1655180555">
    <w:abstractNumId w:val="20"/>
  </w:num>
  <w:num w:numId="22" w16cid:durableId="476341160">
    <w:abstractNumId w:val="4"/>
  </w:num>
  <w:num w:numId="23" w16cid:durableId="1018653347">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7B31"/>
    <w:rsid w:val="00000E56"/>
    <w:rsid w:val="00023868"/>
    <w:rsid w:val="00075185"/>
    <w:rsid w:val="00111775"/>
    <w:rsid w:val="0011344B"/>
    <w:rsid w:val="001A603D"/>
    <w:rsid w:val="001A7EC0"/>
    <w:rsid w:val="001C529C"/>
    <w:rsid w:val="002631C5"/>
    <w:rsid w:val="002C31BB"/>
    <w:rsid w:val="002D0B85"/>
    <w:rsid w:val="00314FAE"/>
    <w:rsid w:val="00351BE8"/>
    <w:rsid w:val="003859DD"/>
    <w:rsid w:val="00394004"/>
    <w:rsid w:val="00422E7B"/>
    <w:rsid w:val="00425922"/>
    <w:rsid w:val="0047784E"/>
    <w:rsid w:val="004A1189"/>
    <w:rsid w:val="004C726D"/>
    <w:rsid w:val="00572CB3"/>
    <w:rsid w:val="005A3164"/>
    <w:rsid w:val="00601C7C"/>
    <w:rsid w:val="006863EB"/>
    <w:rsid w:val="006D3B1A"/>
    <w:rsid w:val="006F2F2F"/>
    <w:rsid w:val="006F32E9"/>
    <w:rsid w:val="00731E27"/>
    <w:rsid w:val="007324EF"/>
    <w:rsid w:val="007A7531"/>
    <w:rsid w:val="007B10C8"/>
    <w:rsid w:val="007E5604"/>
    <w:rsid w:val="00837061"/>
    <w:rsid w:val="008809A9"/>
    <w:rsid w:val="00914932"/>
    <w:rsid w:val="00923A5F"/>
    <w:rsid w:val="009A0CE3"/>
    <w:rsid w:val="00A41D2D"/>
    <w:rsid w:val="00A57D00"/>
    <w:rsid w:val="00A62C5F"/>
    <w:rsid w:val="00A8680A"/>
    <w:rsid w:val="00AE79F5"/>
    <w:rsid w:val="00AF5AA6"/>
    <w:rsid w:val="00B56F85"/>
    <w:rsid w:val="00B651A2"/>
    <w:rsid w:val="00BE0068"/>
    <w:rsid w:val="00BF0813"/>
    <w:rsid w:val="00C11C21"/>
    <w:rsid w:val="00C41A1A"/>
    <w:rsid w:val="00C47B31"/>
    <w:rsid w:val="00C82B62"/>
    <w:rsid w:val="00C90B56"/>
    <w:rsid w:val="00CA058E"/>
    <w:rsid w:val="00CB4F69"/>
    <w:rsid w:val="00CC0E28"/>
    <w:rsid w:val="00D55A1E"/>
    <w:rsid w:val="00DA307A"/>
    <w:rsid w:val="00DD23D8"/>
    <w:rsid w:val="00E32A7A"/>
    <w:rsid w:val="00E64406"/>
    <w:rsid w:val="00E81059"/>
    <w:rsid w:val="00E86CC0"/>
    <w:rsid w:val="00EF37D0"/>
    <w:rsid w:val="00F11EA5"/>
    <w:rsid w:val="00F6565A"/>
    <w:rsid w:val="00FD4D79"/>
  </w:rsids>
  <m:mathPr>
    <m:mathFont m:val="Cambria Math"/>
    <m:brkBin m:val="before"/>
    <m:brkBinSub m:val="--"/>
    <m:smallFrac m:val="0"/>
    <m:dispDef/>
    <m:lMargin m:val="0"/>
    <m:rMargin m:val="0"/>
    <m:defJc m:val="centerGroup"/>
    <m:wrapIndent m:val="1440"/>
    <m:intLim m:val="subSup"/>
    <m:naryLim m:val="undOvr"/>
  </m:mathPr>
  <w:themeFontLang w:val="es-SV"/>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054B073"/>
  <w15:chartTrackingRefBased/>
  <w15:docId w15:val="{476AD63A-D637-3943-90A2-F560860BEE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SV"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A7A"/>
    <w:pPr>
      <w:keepNext/>
      <w:keepLines/>
      <w:spacing w:before="360" w:after="80"/>
      <w:outlineLvl w:val="0"/>
    </w:pPr>
    <w:rPr>
      <w:rFonts w:ascii="Arial" w:eastAsiaTheme="majorEastAsia" w:hAnsi="Arial" w:cstheme="majorBidi"/>
      <w:b/>
      <w:color w:val="0F4761" w:themeColor="accent1" w:themeShade="BF"/>
      <w:sz w:val="28"/>
      <w:szCs w:val="40"/>
    </w:rPr>
  </w:style>
  <w:style w:type="paragraph" w:styleId="Heading2">
    <w:name w:val="heading 2"/>
    <w:basedOn w:val="Normal"/>
    <w:next w:val="Normal"/>
    <w:link w:val="Heading2Char"/>
    <w:uiPriority w:val="9"/>
    <w:unhideWhenUsed/>
    <w:qFormat/>
    <w:rsid w:val="00E32A7A"/>
    <w:pPr>
      <w:keepNext/>
      <w:keepLines/>
      <w:spacing w:before="160" w:after="80"/>
      <w:outlineLvl w:val="1"/>
    </w:pPr>
    <w:rPr>
      <w:rFonts w:ascii="Arial" w:eastAsiaTheme="majorEastAsia" w:hAnsi="Arial" w:cstheme="majorBidi"/>
      <w:color w:val="0F4761" w:themeColor="accent1" w:themeShade="BF"/>
      <w:szCs w:val="32"/>
    </w:rPr>
  </w:style>
  <w:style w:type="paragraph" w:styleId="Heading3">
    <w:name w:val="heading 3"/>
    <w:basedOn w:val="Normal"/>
    <w:next w:val="Normal"/>
    <w:link w:val="Heading3Char"/>
    <w:uiPriority w:val="9"/>
    <w:unhideWhenUsed/>
    <w:qFormat/>
    <w:rsid w:val="00C47B3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47B3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47B3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47B31"/>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47B31"/>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47B31"/>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47B31"/>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numbering" w:customStyle="1" w:styleId="Estilo1">
    <w:name w:val="Estilo1"/>
    <w:uiPriority w:val="99"/>
    <w:rsid w:val="00BE0068"/>
    <w:pPr>
      <w:numPr>
        <w:numId w:val="3"/>
      </w:numPr>
    </w:pPr>
  </w:style>
  <w:style w:type="character" w:customStyle="1" w:styleId="Heading1Char">
    <w:name w:val="Heading 1 Char"/>
    <w:basedOn w:val="DefaultParagraphFont"/>
    <w:link w:val="Heading1"/>
    <w:uiPriority w:val="9"/>
    <w:rsid w:val="00E32A7A"/>
    <w:rPr>
      <w:rFonts w:ascii="Arial" w:eastAsiaTheme="majorEastAsia" w:hAnsi="Arial" w:cstheme="majorBidi"/>
      <w:b/>
      <w:color w:val="0F4761" w:themeColor="accent1" w:themeShade="BF"/>
      <w:sz w:val="28"/>
      <w:szCs w:val="40"/>
    </w:rPr>
  </w:style>
  <w:style w:type="character" w:customStyle="1" w:styleId="Heading2Char">
    <w:name w:val="Heading 2 Char"/>
    <w:basedOn w:val="DefaultParagraphFont"/>
    <w:link w:val="Heading2"/>
    <w:uiPriority w:val="9"/>
    <w:rsid w:val="00E32A7A"/>
    <w:rPr>
      <w:rFonts w:ascii="Arial" w:eastAsiaTheme="majorEastAsia" w:hAnsi="Arial" w:cstheme="majorBidi"/>
      <w:color w:val="0F4761" w:themeColor="accent1" w:themeShade="BF"/>
      <w:szCs w:val="32"/>
    </w:rPr>
  </w:style>
  <w:style w:type="character" w:customStyle="1" w:styleId="Heading3Char">
    <w:name w:val="Heading 3 Char"/>
    <w:basedOn w:val="DefaultParagraphFont"/>
    <w:link w:val="Heading3"/>
    <w:uiPriority w:val="9"/>
    <w:rsid w:val="00C47B3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47B3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47B3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47B3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47B3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47B3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47B31"/>
    <w:rPr>
      <w:rFonts w:eastAsiaTheme="majorEastAsia" w:cstheme="majorBidi"/>
      <w:color w:val="272727" w:themeColor="text1" w:themeTint="D8"/>
    </w:rPr>
  </w:style>
  <w:style w:type="paragraph" w:styleId="Title">
    <w:name w:val="Title"/>
    <w:basedOn w:val="Normal"/>
    <w:next w:val="Normal"/>
    <w:link w:val="TitleChar"/>
    <w:uiPriority w:val="10"/>
    <w:qFormat/>
    <w:rsid w:val="00C47B31"/>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47B3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47B31"/>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47B3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47B31"/>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C47B31"/>
    <w:rPr>
      <w:i/>
      <w:iCs/>
      <w:color w:val="404040" w:themeColor="text1" w:themeTint="BF"/>
    </w:rPr>
  </w:style>
  <w:style w:type="paragraph" w:styleId="ListParagraph">
    <w:name w:val="List Paragraph"/>
    <w:basedOn w:val="Normal"/>
    <w:uiPriority w:val="34"/>
    <w:qFormat/>
    <w:rsid w:val="00C47B31"/>
    <w:pPr>
      <w:ind w:left="720"/>
      <w:contextualSpacing/>
    </w:pPr>
  </w:style>
  <w:style w:type="character" w:styleId="IntenseEmphasis">
    <w:name w:val="Intense Emphasis"/>
    <w:basedOn w:val="DefaultParagraphFont"/>
    <w:uiPriority w:val="21"/>
    <w:qFormat/>
    <w:rsid w:val="00C47B31"/>
    <w:rPr>
      <w:i/>
      <w:iCs/>
      <w:color w:val="0F4761" w:themeColor="accent1" w:themeShade="BF"/>
    </w:rPr>
  </w:style>
  <w:style w:type="paragraph" w:styleId="IntenseQuote">
    <w:name w:val="Intense Quote"/>
    <w:basedOn w:val="Normal"/>
    <w:next w:val="Normal"/>
    <w:link w:val="IntenseQuoteChar"/>
    <w:uiPriority w:val="30"/>
    <w:qFormat/>
    <w:rsid w:val="00C47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47B31"/>
    <w:rPr>
      <w:i/>
      <w:iCs/>
      <w:color w:val="0F4761" w:themeColor="accent1" w:themeShade="BF"/>
    </w:rPr>
  </w:style>
  <w:style w:type="character" w:styleId="IntenseReference">
    <w:name w:val="Intense Reference"/>
    <w:basedOn w:val="DefaultParagraphFont"/>
    <w:uiPriority w:val="32"/>
    <w:qFormat/>
    <w:rsid w:val="00C47B31"/>
    <w:rPr>
      <w:b/>
      <w:bCs/>
      <w:smallCaps/>
      <w:color w:val="0F4761" w:themeColor="accent1" w:themeShade="BF"/>
      <w:spacing w:val="5"/>
    </w:rPr>
  </w:style>
  <w:style w:type="paragraph" w:styleId="Header">
    <w:name w:val="header"/>
    <w:basedOn w:val="Normal"/>
    <w:link w:val="HeaderChar"/>
    <w:uiPriority w:val="99"/>
    <w:unhideWhenUsed/>
    <w:rsid w:val="00351BE8"/>
    <w:pPr>
      <w:tabs>
        <w:tab w:val="center" w:pos="4419"/>
        <w:tab w:val="right" w:pos="8838"/>
      </w:tabs>
    </w:pPr>
  </w:style>
  <w:style w:type="character" w:customStyle="1" w:styleId="HeaderChar">
    <w:name w:val="Header Char"/>
    <w:basedOn w:val="DefaultParagraphFont"/>
    <w:link w:val="Header"/>
    <w:uiPriority w:val="99"/>
    <w:rsid w:val="00351BE8"/>
  </w:style>
  <w:style w:type="paragraph" w:styleId="Footer">
    <w:name w:val="footer"/>
    <w:basedOn w:val="Normal"/>
    <w:link w:val="FooterChar"/>
    <w:uiPriority w:val="99"/>
    <w:unhideWhenUsed/>
    <w:rsid w:val="00351BE8"/>
    <w:pPr>
      <w:tabs>
        <w:tab w:val="center" w:pos="4419"/>
        <w:tab w:val="right" w:pos="8838"/>
      </w:tabs>
    </w:pPr>
  </w:style>
  <w:style w:type="character" w:customStyle="1" w:styleId="FooterChar">
    <w:name w:val="Footer Char"/>
    <w:basedOn w:val="DefaultParagraphFont"/>
    <w:link w:val="Footer"/>
    <w:uiPriority w:val="99"/>
    <w:rsid w:val="00351BE8"/>
  </w:style>
  <w:style w:type="table" w:styleId="GridTable6Colorful-Accent1">
    <w:name w:val="Grid Table 6 Colorful Accent 1"/>
    <w:basedOn w:val="TableNormal"/>
    <w:uiPriority w:val="51"/>
    <w:rsid w:val="002631C5"/>
    <w:rPr>
      <w:color w:val="0F4761" w:themeColor="accent1" w:themeShade="BF"/>
    </w:rPr>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rPr>
      <w:tblPr/>
      <w:tcPr>
        <w:tcBorders>
          <w:bottom w:val="single" w:sz="12" w:space="0" w:color="45B0E1" w:themeColor="accent1" w:themeTint="99"/>
        </w:tcBorders>
      </w:tcPr>
    </w:tblStylePr>
    <w:tblStylePr w:type="lastRow">
      <w:rPr>
        <w:b/>
        <w:bCs/>
      </w:rPr>
      <w:tblPr/>
      <w:tcPr>
        <w:tcBorders>
          <w:top w:val="double" w:sz="4" w:space="0" w:color="45B0E1" w:themeColor="accent1" w:themeTint="99"/>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table" w:styleId="GridTable1Light-Accent4">
    <w:name w:val="Grid Table 1 Light Accent 4"/>
    <w:basedOn w:val="TableNormal"/>
    <w:uiPriority w:val="46"/>
    <w:rsid w:val="002631C5"/>
    <w:tblPr>
      <w:tblStyleRowBandSize w:val="1"/>
      <w:tblStyleColBandSize w:val="1"/>
      <w:tblBorders>
        <w:top w:val="single" w:sz="4" w:space="0" w:color="95DCF7" w:themeColor="accent4" w:themeTint="66"/>
        <w:left w:val="single" w:sz="4" w:space="0" w:color="95DCF7" w:themeColor="accent4" w:themeTint="66"/>
        <w:bottom w:val="single" w:sz="4" w:space="0" w:color="95DCF7" w:themeColor="accent4" w:themeTint="66"/>
        <w:right w:val="single" w:sz="4" w:space="0" w:color="95DCF7" w:themeColor="accent4" w:themeTint="66"/>
        <w:insideH w:val="single" w:sz="4" w:space="0" w:color="95DCF7" w:themeColor="accent4" w:themeTint="66"/>
        <w:insideV w:val="single" w:sz="4" w:space="0" w:color="95DCF7" w:themeColor="accent4" w:themeTint="66"/>
      </w:tblBorders>
    </w:tblPr>
    <w:tblStylePr w:type="firstRow">
      <w:rPr>
        <w:b/>
        <w:bCs/>
      </w:rPr>
      <w:tblPr/>
      <w:tcPr>
        <w:tcBorders>
          <w:bottom w:val="single" w:sz="12" w:space="0" w:color="60CAF3" w:themeColor="accent4" w:themeTint="99"/>
        </w:tcBorders>
      </w:tcPr>
    </w:tblStylePr>
    <w:tblStylePr w:type="lastRow">
      <w:rPr>
        <w:b/>
        <w:bCs/>
      </w:rPr>
      <w:tblPr/>
      <w:tcPr>
        <w:tcBorders>
          <w:top w:val="double" w:sz="2" w:space="0" w:color="60CAF3" w:themeColor="accent4" w:themeTint="99"/>
        </w:tcBorders>
      </w:tcPr>
    </w:tblStylePr>
    <w:tblStylePr w:type="firstCol">
      <w:rPr>
        <w:b/>
        <w:bCs/>
      </w:rPr>
    </w:tblStylePr>
    <w:tblStylePr w:type="lastCol">
      <w:rPr>
        <w:b/>
        <w:bCs/>
      </w:rPr>
    </w:tblStylePr>
  </w:style>
  <w:style w:type="table" w:styleId="GridTable3">
    <w:name w:val="Grid Table 3"/>
    <w:basedOn w:val="TableNormal"/>
    <w:uiPriority w:val="48"/>
    <w:rsid w:val="007B10C8"/>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paragraph" w:styleId="NoSpacing">
    <w:name w:val="No Spacing"/>
    <w:link w:val="NoSpacingChar"/>
    <w:uiPriority w:val="1"/>
    <w:qFormat/>
    <w:rsid w:val="00B651A2"/>
    <w:rPr>
      <w:rFonts w:eastAsiaTheme="minorEastAsia"/>
      <w:kern w:val="0"/>
      <w:sz w:val="22"/>
      <w:szCs w:val="22"/>
      <w:lang w:eastAsia="es-SV"/>
      <w14:ligatures w14:val="none"/>
    </w:rPr>
  </w:style>
  <w:style w:type="character" w:customStyle="1" w:styleId="NoSpacingChar">
    <w:name w:val="No Spacing Char"/>
    <w:basedOn w:val="DefaultParagraphFont"/>
    <w:link w:val="NoSpacing"/>
    <w:uiPriority w:val="1"/>
    <w:rsid w:val="00B651A2"/>
    <w:rPr>
      <w:rFonts w:eastAsiaTheme="minorEastAsia"/>
      <w:kern w:val="0"/>
      <w:sz w:val="22"/>
      <w:szCs w:val="22"/>
      <w:lang w:eastAsia="es-SV"/>
      <w14:ligatures w14:val="none"/>
    </w:rPr>
  </w:style>
  <w:style w:type="table" w:styleId="TableGrid">
    <w:name w:val="Table Grid"/>
    <w:basedOn w:val="TableNormal"/>
    <w:uiPriority w:val="39"/>
    <w:rsid w:val="00B651A2"/>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1">
    <w:name w:val="Grid Table 4 Accent 1"/>
    <w:basedOn w:val="TableNormal"/>
    <w:uiPriority w:val="49"/>
    <w:rsid w:val="00B651A2"/>
    <w:tblPr>
      <w:tblStyleRowBandSize w:val="1"/>
      <w:tblStyleColBandSize w:val="1"/>
      <w:tblBorders>
        <w:top w:val="single" w:sz="4" w:space="0" w:color="45B0E1" w:themeColor="accent1" w:themeTint="99"/>
        <w:left w:val="single" w:sz="4" w:space="0" w:color="45B0E1" w:themeColor="accent1" w:themeTint="99"/>
        <w:bottom w:val="single" w:sz="4" w:space="0" w:color="45B0E1" w:themeColor="accent1" w:themeTint="99"/>
        <w:right w:val="single" w:sz="4" w:space="0" w:color="45B0E1" w:themeColor="accent1" w:themeTint="99"/>
        <w:insideH w:val="single" w:sz="4" w:space="0" w:color="45B0E1" w:themeColor="accent1" w:themeTint="99"/>
        <w:insideV w:val="single" w:sz="4" w:space="0" w:color="45B0E1" w:themeColor="accent1" w:themeTint="99"/>
      </w:tblBorders>
    </w:tblPr>
    <w:tblStylePr w:type="firstRow">
      <w:rPr>
        <w:b/>
        <w:bCs/>
        <w:color w:val="FFFFFF" w:themeColor="background1"/>
      </w:rPr>
      <w:tblPr/>
      <w:tcPr>
        <w:tcBorders>
          <w:top w:val="single" w:sz="4" w:space="0" w:color="156082" w:themeColor="accent1"/>
          <w:left w:val="single" w:sz="4" w:space="0" w:color="156082" w:themeColor="accent1"/>
          <w:bottom w:val="single" w:sz="4" w:space="0" w:color="156082" w:themeColor="accent1"/>
          <w:right w:val="single" w:sz="4" w:space="0" w:color="156082" w:themeColor="accent1"/>
          <w:insideH w:val="nil"/>
          <w:insideV w:val="nil"/>
        </w:tcBorders>
        <w:shd w:val="clear" w:color="auto" w:fill="156082" w:themeFill="accent1"/>
      </w:tcPr>
    </w:tblStylePr>
    <w:tblStylePr w:type="lastRow">
      <w:rPr>
        <w:b/>
        <w:bCs/>
      </w:rPr>
      <w:tblPr/>
      <w:tcPr>
        <w:tcBorders>
          <w:top w:val="double" w:sz="4" w:space="0" w:color="156082" w:themeColor="accent1"/>
        </w:tcBorders>
      </w:tcPr>
    </w:tblStylePr>
    <w:tblStylePr w:type="firstCol">
      <w:rPr>
        <w:b/>
        <w:bCs/>
      </w:rPr>
    </w:tblStylePr>
    <w:tblStylePr w:type="lastCol">
      <w:rPr>
        <w:b/>
        <w:bCs/>
      </w:rPr>
    </w:tblStylePr>
    <w:tblStylePr w:type="band1Vert">
      <w:tblPr/>
      <w:tcPr>
        <w:shd w:val="clear" w:color="auto" w:fill="C1E4F5" w:themeFill="accent1" w:themeFillTint="33"/>
      </w:tcPr>
    </w:tblStylePr>
    <w:tblStylePr w:type="band1Horz">
      <w:tblPr/>
      <w:tcPr>
        <w:shd w:val="clear" w:color="auto" w:fill="C1E4F5" w:themeFill="accent1" w:themeFillTint="33"/>
      </w:tcPr>
    </w:tblStylePr>
  </w:style>
  <w:style w:type="paragraph" w:styleId="TOCHeading">
    <w:name w:val="TOC Heading"/>
    <w:basedOn w:val="Heading1"/>
    <w:next w:val="Normal"/>
    <w:uiPriority w:val="39"/>
    <w:unhideWhenUsed/>
    <w:qFormat/>
    <w:rsid w:val="007E5604"/>
    <w:pPr>
      <w:spacing w:before="240" w:after="0" w:line="259" w:lineRule="auto"/>
      <w:outlineLvl w:val="9"/>
    </w:pPr>
    <w:rPr>
      <w:rFonts w:asciiTheme="majorHAnsi" w:hAnsiTheme="majorHAnsi"/>
      <w:b w:val="0"/>
      <w:kern w:val="0"/>
      <w:sz w:val="32"/>
      <w:szCs w:val="32"/>
      <w:lang w:eastAsia="es-SV"/>
      <w14:ligatures w14:val="none"/>
    </w:rPr>
  </w:style>
  <w:style w:type="paragraph" w:styleId="TOC1">
    <w:name w:val="toc 1"/>
    <w:basedOn w:val="Normal"/>
    <w:next w:val="Normal"/>
    <w:autoRedefine/>
    <w:uiPriority w:val="39"/>
    <w:unhideWhenUsed/>
    <w:rsid w:val="007E5604"/>
    <w:pPr>
      <w:spacing w:after="100"/>
    </w:pPr>
  </w:style>
  <w:style w:type="paragraph" w:styleId="TOC2">
    <w:name w:val="toc 2"/>
    <w:basedOn w:val="Normal"/>
    <w:next w:val="Normal"/>
    <w:autoRedefine/>
    <w:uiPriority w:val="39"/>
    <w:unhideWhenUsed/>
    <w:rsid w:val="007E5604"/>
    <w:pPr>
      <w:spacing w:after="100"/>
      <w:ind w:left="240"/>
    </w:pPr>
  </w:style>
  <w:style w:type="character" w:styleId="Hyperlink">
    <w:name w:val="Hyperlink"/>
    <w:basedOn w:val="DefaultParagraphFont"/>
    <w:uiPriority w:val="99"/>
    <w:unhideWhenUsed/>
    <w:rsid w:val="007E5604"/>
    <w:rPr>
      <w:color w:val="467886" w:themeColor="hyperlink"/>
      <w:u w:val="single"/>
    </w:rPr>
  </w:style>
  <w:style w:type="paragraph" w:styleId="NormalWeb">
    <w:name w:val="Normal (Web)"/>
    <w:basedOn w:val="Normal"/>
    <w:uiPriority w:val="99"/>
    <w:semiHidden/>
    <w:unhideWhenUsed/>
    <w:rsid w:val="002D0B85"/>
    <w:pPr>
      <w:spacing w:before="100" w:beforeAutospacing="1" w:after="100" w:afterAutospacing="1"/>
    </w:pPr>
    <w:rPr>
      <w:rFonts w:ascii="Times New Roman" w:eastAsia="Times New Roman" w:hAnsi="Times New Roman" w:cs="Times New Roman"/>
      <w:kern w:val="0"/>
      <w:lang w:eastAsia="es-SV"/>
      <w14:ligatures w14:val="none"/>
    </w:rPr>
  </w:style>
  <w:style w:type="character" w:styleId="Strong">
    <w:name w:val="Strong"/>
    <w:basedOn w:val="DefaultParagraphFont"/>
    <w:uiPriority w:val="22"/>
    <w:qFormat/>
    <w:rsid w:val="002D0B85"/>
    <w:rPr>
      <w:b/>
      <w:bCs/>
    </w:rPr>
  </w:style>
  <w:style w:type="table" w:styleId="ListTable3-Accent1">
    <w:name w:val="List Table 3 Accent 1"/>
    <w:basedOn w:val="TableNormal"/>
    <w:uiPriority w:val="48"/>
    <w:rsid w:val="002D0B85"/>
    <w:tblPr>
      <w:tblStyleRowBandSize w:val="1"/>
      <w:tblStyleColBandSize w:val="1"/>
      <w:tblBorders>
        <w:top w:val="single" w:sz="4" w:space="0" w:color="156082" w:themeColor="accent1"/>
        <w:left w:val="single" w:sz="4" w:space="0" w:color="156082" w:themeColor="accent1"/>
        <w:bottom w:val="single" w:sz="4" w:space="0" w:color="156082" w:themeColor="accent1"/>
        <w:right w:val="single" w:sz="4" w:space="0" w:color="156082" w:themeColor="accent1"/>
      </w:tblBorders>
    </w:tblPr>
    <w:tblStylePr w:type="firstRow">
      <w:rPr>
        <w:b/>
        <w:bCs/>
        <w:color w:val="FFFFFF" w:themeColor="background1"/>
      </w:rPr>
      <w:tblPr/>
      <w:tcPr>
        <w:shd w:val="clear" w:color="auto" w:fill="156082" w:themeFill="accent1"/>
      </w:tcPr>
    </w:tblStylePr>
    <w:tblStylePr w:type="lastRow">
      <w:rPr>
        <w:b/>
        <w:bCs/>
      </w:rPr>
      <w:tblPr/>
      <w:tcPr>
        <w:tcBorders>
          <w:top w:val="double" w:sz="4" w:space="0" w:color="156082"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56082" w:themeColor="accent1"/>
          <w:right w:val="single" w:sz="4" w:space="0" w:color="156082" w:themeColor="accent1"/>
        </w:tcBorders>
      </w:tcPr>
    </w:tblStylePr>
    <w:tblStylePr w:type="band1Horz">
      <w:tblPr/>
      <w:tcPr>
        <w:tcBorders>
          <w:top w:val="single" w:sz="4" w:space="0" w:color="156082" w:themeColor="accent1"/>
          <w:bottom w:val="single" w:sz="4" w:space="0" w:color="156082"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56082" w:themeColor="accent1"/>
          <w:left w:val="nil"/>
        </w:tcBorders>
      </w:tcPr>
    </w:tblStylePr>
    <w:tblStylePr w:type="swCell">
      <w:tblPr/>
      <w:tcPr>
        <w:tcBorders>
          <w:top w:val="double" w:sz="4" w:space="0" w:color="156082" w:themeColor="accent1"/>
          <w:right w:val="nil"/>
        </w:tcBorders>
      </w:tcPr>
    </w:tblStylePr>
  </w:style>
  <w:style w:type="character" w:styleId="HTMLCode">
    <w:name w:val="HTML Code"/>
    <w:basedOn w:val="DefaultParagraphFont"/>
    <w:uiPriority w:val="99"/>
    <w:semiHidden/>
    <w:unhideWhenUsed/>
    <w:rsid w:val="002D0B85"/>
    <w:rPr>
      <w:rFonts w:ascii="Courier New" w:eastAsia="Times New Roman" w:hAnsi="Courier New" w:cs="Courier New"/>
      <w:sz w:val="20"/>
      <w:szCs w:val="20"/>
    </w:rPr>
  </w:style>
  <w:style w:type="paragraph" w:styleId="TOC3">
    <w:name w:val="toc 3"/>
    <w:basedOn w:val="Normal"/>
    <w:next w:val="Normal"/>
    <w:autoRedefine/>
    <w:uiPriority w:val="39"/>
    <w:unhideWhenUsed/>
    <w:rsid w:val="002D0B85"/>
    <w:pPr>
      <w:spacing w:after="100"/>
      <w:ind w:left="480"/>
    </w:pPr>
  </w:style>
  <w:style w:type="table" w:styleId="GridTable5Dark-Accent1">
    <w:name w:val="Grid Table 5 Dark Accent 1"/>
    <w:basedOn w:val="TableNormal"/>
    <w:uiPriority w:val="50"/>
    <w:rsid w:val="00AE79F5"/>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1E4F5"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56082"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56082"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56082"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56082" w:themeFill="accent1"/>
      </w:tcPr>
    </w:tblStylePr>
    <w:tblStylePr w:type="band1Vert">
      <w:tblPr/>
      <w:tcPr>
        <w:shd w:val="clear" w:color="auto" w:fill="83CAEB" w:themeFill="accent1" w:themeFillTint="66"/>
      </w:tcPr>
    </w:tblStylePr>
    <w:tblStylePr w:type="band1Horz">
      <w:tblPr/>
      <w:tcPr>
        <w:shd w:val="clear" w:color="auto" w:fill="83CAEB" w:themeFill="accent1"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eader" Target="header4.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3.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188BF0F-35D1-614B-B8EC-AEFF95314F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TotalTime>
  <Pages>5</Pages>
  <Words>841</Words>
  <Characters>4631</Characters>
  <Application>Microsoft Office Word</Application>
  <DocSecurity>0</DocSecurity>
  <Lines>38</Lines>
  <Paragraphs>10</Paragraphs>
  <ScaleCrop>false</ScaleCrop>
  <HeadingPairs>
    <vt:vector size="4" baseType="variant">
      <vt:variant>
        <vt:lpstr>Title</vt:lpstr>
      </vt:variant>
      <vt:variant>
        <vt:i4>1</vt:i4>
      </vt:variant>
      <vt:variant>
        <vt:lpstr>Título</vt:lpstr>
      </vt:variant>
      <vt:variant>
        <vt:i4>1</vt:i4>
      </vt:variant>
    </vt:vector>
  </HeadingPairs>
  <TitlesOfParts>
    <vt:vector size="2" baseType="lpstr">
      <vt:lpstr/>
      <vt:lpstr/>
    </vt:vector>
  </TitlesOfParts>
  <Company/>
  <LinksUpToDate>false</LinksUpToDate>
  <CharactersWithSpaces>5462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Comunicaciones Secretaria de Innovación</dc:creator>
  <cp:keywords/>
  <dc:description/>
  <cp:lastModifiedBy>Danny M Moreno</cp:lastModifiedBy>
  <cp:revision>5</cp:revision>
  <cp:lastPrinted>2025-05-30T17:54:00Z</cp:lastPrinted>
  <dcterms:created xsi:type="dcterms:W3CDTF">2026-06-28T18:58:00Z</dcterms:created>
  <dcterms:modified xsi:type="dcterms:W3CDTF">2026-06-29T03:58:00Z</dcterms:modified>
</cp:coreProperties>
</file>