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1. Modelo de Identidades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2. Matriz de Permisos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3. Documento de Políticas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4. Conclusiones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5. Referencias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Modelo de Identidades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Usuarios finales:</w:t>
      </w:r>
      <w:r w:rsidDel="00000000" w:rsidR="00000000" w:rsidRPr="00000000">
        <w:rPr>
          <w:rtl w:val="0"/>
        </w:rPr>
        <w:t xml:space="preserve"> Personas que acceden a las aplicaciones. Se gestionan mediante perfiles únicos con atributos como nombre, correo, rol y nivel de acceso.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Identidades de servicio:</w:t>
      </w:r>
      <w:r w:rsidDel="00000000" w:rsidR="00000000" w:rsidRPr="00000000">
        <w:rPr>
          <w:rtl w:val="0"/>
        </w:rPr>
        <w:t xml:space="preserve"> Cuentas técnicas utilizadas por aplicaciones y APIs, con credenciales seguras y rotación periódica.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Federación de identidades:</w:t>
      </w:r>
      <w:r w:rsidDel="00000000" w:rsidR="00000000" w:rsidRPr="00000000">
        <w:rPr>
          <w:rtl w:val="0"/>
        </w:rPr>
        <w:t xml:space="preserve"> Integración con proveedores externos (Google, Microsoft, GitHub) para habilitar SSO.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Identidades dinámicas:</w:t>
      </w:r>
      <w:r w:rsidDel="00000000" w:rsidR="00000000" w:rsidRPr="00000000">
        <w:rPr>
          <w:rtl w:val="0"/>
        </w:rPr>
        <w:t xml:space="preserve"> Se aplican políticas basadas en contexto (ubicación, dispositivo, riesgo) para ajustar permisos en tiempo real.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Matriz de Permisos</w:t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La matriz de permisos organiza roles, grupos y acciones permitidas, garantizando el principio de mínimo privilegio.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1.372164909112"/>
        <w:gridCol w:w="2828.6741378652387"/>
        <w:gridCol w:w="4505.465508249272"/>
        <w:tblGridChange w:id="0">
          <w:tblGrid>
            <w:gridCol w:w="1691.372164909112"/>
            <w:gridCol w:w="2828.6741378652387"/>
            <w:gridCol w:w="4505.46550824927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Rol/Grupo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6bdc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read:all, write:users, delete:logs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total sobre usuarios y auditoría.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read:reports, read:logs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de solo lectura a reportes y registros.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Usuario estándar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read:self, update:self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Puede consultar y actualizar su propio perfil.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Servicio/API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read:data, write:data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técnico para integraciones de aplicaciones.</w:t>
            </w:r>
          </w:p>
        </w:tc>
      </w:tr>
    </w:tbl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Documento de Políticas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Autenticación multifactor:</w:t>
      </w:r>
      <w:r w:rsidDel="00000000" w:rsidR="00000000" w:rsidRPr="00000000">
        <w:rPr>
          <w:rtl w:val="0"/>
        </w:rPr>
        <w:t xml:space="preserve"> Obligatoria para todos los accesos sensibles.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Autenticación adaptativa:</w:t>
      </w:r>
      <w:r w:rsidDel="00000000" w:rsidR="00000000" w:rsidRPr="00000000">
        <w:rPr>
          <w:rtl w:val="0"/>
        </w:rPr>
        <w:t xml:space="preserve"> Se ajusta según el nivel de riesgo (ej. acceso desde ubicación desconocida).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Autorización contextual:</w:t>
      </w:r>
      <w:r w:rsidDel="00000000" w:rsidR="00000000" w:rsidRPr="00000000">
        <w:rPr>
          <w:rtl w:val="0"/>
        </w:rPr>
        <w:t xml:space="preserve"> Se evalúan factores como dispositivo, ubicación y hora de acceso.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Políticas de sesión:</w:t>
      </w:r>
      <w:r w:rsidDel="00000000" w:rsidR="00000000" w:rsidRPr="00000000">
        <w:rPr>
          <w:rtl w:val="0"/>
        </w:rPr>
        <w:t xml:space="preserve"> Tokens con duración limitada y revocación inmediata en caso de anomalías.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Principio de mínimo privilegio:</w:t>
      </w:r>
      <w:r w:rsidDel="00000000" w:rsidR="00000000" w:rsidRPr="00000000">
        <w:rPr>
          <w:rtl w:val="0"/>
        </w:rPr>
        <w:t xml:space="preserve"> Cada usuario accede solo a lo estrictamente necesario para su función.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Conclusiones</w:t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El diseño IAM propuesto, basado en Auth0 y el modelo Zero Trust, permite una gestión integral de identidades y accesos en la nube. La matriz de permisos, el modelo de identidades y las políticas de autenticación/autorización garantizan seguridad dinámica, cumplimiento normativo y una experiencia de usuario consistente.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Referencias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Auth0. (2024). Identity and Access Management Documentation. Recuperado de https://auth0.com/docs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NIST. (2020). Zero Trust Architecture (SP 800-207). National Institute of Standards and Technology.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Stallings, W. (2022). Network Security Essentials: Applications and Standards. Pearson.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Microsoft. (2023). Cloud Identity and Access Management Best Practices. Recuperado de https://learn.microsoft.com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