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Intervention Method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Study 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Sample Size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(2012)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strategies of component display theory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Amo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Mamonov et al.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government surveillance news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442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Abraham et al.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instructional control elements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Clark (2013)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awareness campaign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compliance communication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McGill et al. (2021)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activity; career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Arachchilage (2016)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Booth (2019)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privacy risk awareness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Chen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cyber security related 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 et al. (2020)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text and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Mwagwabi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fear appeals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210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Smith et al. (2018)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in-house and third-party video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quasi-experiment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204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Zarouali et al. (2018)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exposure to messages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privacy control salience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178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2023-01-24T11:41:43Z</dcterms:modified>
  <cp:category/>
</cp:coreProperties>
</file>