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Method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Study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Sample Size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(2012)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strategies of component display theory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Amo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Mamonov et al.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government surveillance news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et al.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control elements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Clark (2013)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awareness campaign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compliance 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McGill et al. (2021)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activity; career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Arachchilage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Booth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privacy risk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Chen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text and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Mwagwabi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fear appeals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Smith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in-house and third-party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204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Zarouali et al. (2018)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privacy control salience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2023-01-24T10:35:09Z</dcterms:modified>
  <cp:category/>
</cp:coreProperties>
</file>