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Method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Study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Sample Size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(2012)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strategies of component display theory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Amo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Mamonov et al.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government surveillance news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et al.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control elements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Clark (2013)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awareness campaign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compliance 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McGill et al. (2021)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activity; career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Arachchilage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Booth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privacy risk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Chen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text and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Mwagwabi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fear appeals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Smith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in-house and third-party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204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Zarouali et al. (2018)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privacy control salience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2022-10-26T11:54:46Z</dcterms:modified>
  <cp:category/>
</cp:coreProperties>
</file>