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keepNext/>
        <w:keepLines/>
      </w:pPr>
      <w:r>
        <w:rPr>
          <w:b/>
          <w:color w:val="0B7658"/>
          <w:sz w:val="18"/>
        </w:rPr>
        <w:t>PROJEKTSTECKBRIEF</w:t>
      </w:r>
    </w:p>
    <w:p>
      <w:pPr>
        <w:pStyle w:val="Title"/>
        <w:spacing w:after="100"/>
        <w:keepNext/>
        <w:keepLines/>
      </w:pPr>
      <w:r>
        <w:rPr>
          <w:color w:val="14243A"/>
        </w:rPr>
        <w:t>Drei Mietrealitäten. Eine klare Umzugsentscheidung.</w:t>
      </w:r>
    </w:p>
    <w:p>
      <w:pPr>
        <w:pStyle w:val="Subtitle"/>
        <w:spacing w:after="240"/>
        <w:keepLines/>
      </w:pPr>
      <w:r>
        <w:t>MietCheck verbindet amtlichen Wohnungsbestand, aktuellen Angebotsmarkt und persönliche Belastung – offen, reproduzierbar und mit sichtbarer Unsicherheit.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DDF3EC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0B7658"/>
                <w:sz w:val="22"/>
              </w:rPr>
              <w:t>Leitfrage: Wie lässt sich der Umzugsaufschlag mit offenen Massendaten und räumlich belastbarem Machine Learning transparent quantifizieren?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Das Problem</w:t>
      </w:r>
    </w:p>
    <w:p>
      <w:pPr>
        <w:spacing w:after="80"/>
        <w:keepLines/>
      </w:pPr>
      <w:r>
        <w:t>Bestandsmiete, heutige Angebotsmiete und persönliche Wohnkosten beschreiben unterschiedliche Realitäten. Werden sie vermischt, entsteht Scheingenauigkeit. MietCheck hält sie getrennt und zeigt ihre Differenz als Entscheidungshilfe – nicht als Rechtsauskunft.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Der USP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477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Bestand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ML-Anker · Zensus 2022</w:t>
            </w:r>
          </w:p>
        </w:tc>
        <w:tc>
          <w:tcPr>
            <w:tcW w:type="dxa" w:w="3477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Angebot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GREIX · 2026-Q1</w:t>
            </w:r>
          </w:p>
        </w:tc>
        <w:tc>
          <w:tcPr>
            <w:tcW w:type="dxa" w:w="3477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Persönlich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Vertrag + Budget</w:t>
            </w:r>
          </w:p>
        </w:tc>
      </w:tr>
    </w:tbl>
    <w:p>
      <w:pPr>
        <w:spacing w:after="120"/>
        <w:keepLines/>
      </w:pPr>
      <w:r>
        <w:t>Kein geprüftes Vergleichsangebot verbindet alle fünf Bausteine in einer quellenoffenen Anwendung: Bestand, aktueller Markt, persönliche Belastung, Modellunsicherheit und vollständig nachvollziehbare ML-Methode.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Projekt in Zahlen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2,06 Mio.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Modellzeilen</w:t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1,18 Mio.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100-m-Zellen</w:t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37 + DE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GREIX-Profile</w:t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29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automatisierte Tests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Positionierung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Explorative Entscheidungshilfe für Mietende und Umzugsinteressierte.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Kein amtlicher Mietspiegel, keine adressgenaue Bewertung und keine Rechtsberatung.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Öffentliche Quellen, versionierte Berichte, ausgeführte Notebooks und reproduzierbarer Build.</w:t>
      </w:r>
    </w:p>
    <w:p>
      <w:pPr>
        <w:spacing w:before="140" w:after="0"/>
      </w:pPr>
      <w:r>
        <w:rPr>
          <w:b/>
          <w:color w:val="65728A"/>
          <w:sz w:val="17"/>
        </w:rPr>
        <w:t>Nele Knaak  ·  Ersatzleistung Big Data &amp; Data Analytics  ·  Stand 17.07.2026</w:t>
      </w:r>
    </w:p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DATEN &amp; PIPELINE</w:t>
      </w:r>
    </w:p>
    <w:p>
      <w:pPr>
        <w:pStyle w:val="Title"/>
        <w:spacing w:after="100"/>
        <w:keepLines/>
      </w:pPr>
      <w:r>
        <w:rPr>
          <w:color w:val="14243A"/>
        </w:rPr>
        <w:t>Groß genug für Big Data – sauber genug für Reproduzierbarkeit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Zwei Datenwelten, methodisch getrennt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1757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Quelle</w:t>
            </w:r>
          </w:p>
        </w:tc>
        <w:tc>
          <w:tcPr>
            <w:tcW w:type="dxa" w:w="2381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Rolle</w:t>
            </w:r>
          </w:p>
        </w:tc>
        <w:tc>
          <w:tcPr>
            <w:tcW w:type="dxa" w:w="3402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Umfang / Stand</w:t>
            </w:r>
          </w:p>
        </w:tc>
        <w:tc>
          <w:tcPr>
            <w:tcW w:type="dxa" w:w="2835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Warum getrennt?</w:t>
            </w:r>
          </w:p>
        </w:tc>
      </w:tr>
      <w:tr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Zensus 2022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Trainingsziel + Strukturmerkmale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7 Produkte · 100-m-Gitter · Stichtag 15.05.2022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Amtlicher Wohnungsbestand</w:t>
            </w:r>
          </w:p>
        </w:tc>
      </w:tr>
      <w:tr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GREIX</w:t>
            </w:r>
          </w:p>
        </w:tc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Aktueller Angebotsmarkt</w:t>
            </w:r>
          </w:p>
        </w:tc>
        <w:tc>
          <w:tcPr>
            <w:tcW w:type="dxa" w:w="340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2.166 Quartalswerte · 2012-Q1–2026-Q1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Inserate statt Bestandsmieten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Vom Download zur App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E6EBFF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2F5BFF"/>
                <w:sz w:val="22"/>
              </w:rPr>
              <w:t>Download → Hash-Prüfung → Datenverträge → Join auf 100-m-Zellen → EDA → Spatial CV → Tuning → finaler Holdout → Kalibrierung → App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Qualitätssicherung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Offizielle Download-URLs und SHA-256-Manifest sichern Herkunft und Unverändertheit.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Datenverträge prüfen Spalten, Typen, Schlüssel, Kategorien und zulässige Wertebereiche.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Missingness und Join-Verluste werden als Berichte versioniert, nicht still imputiert.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GREIX aktualisiert nur den Marktvergleich; er wird nicht als zeitlich unpassendes Trainingsziel verwendet.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Modellmatrix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2381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994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Kategorien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Ziel</w:t>
            </w:r>
          </w:p>
        </w:tc>
        <w:tc>
          <w:tcPr>
            <w:tcW w:type="dxa" w:w="7994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durchschnittliche Nettokaltmiete in €/m²</w:t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Raum</w:t>
            </w:r>
          </w:p>
        </w:tc>
        <w:tc>
          <w:tcPr>
            <w:tcW w:type="dxa" w:w="799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100-m-Zelle mit Koordinaten und 25-km-Block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Gebäudealter</w:t>
            </w:r>
          </w:p>
        </w:tc>
        <w:tc>
          <w:tcPr>
            <w:tcW w:type="dxa" w:w="7994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bis 1990 / nach 1990</w:t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Wohnungsgröße</w:t>
            </w:r>
          </w:p>
        </w:tc>
        <w:tc>
          <w:tcPr>
            <w:tcW w:type="dxa" w:w="799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bis 65 m² / über 65 m²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Struktur</w:t>
            </w:r>
          </w:p>
        </w:tc>
        <w:tc>
          <w:tcPr>
            <w:tcW w:type="dxa" w:w="7994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Gebäude-, Wohnungs-, Haushalts- und Bevölkerungsmerkmale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Reproduzierbare Kernschritte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3969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Skript</w:t>
            </w:r>
          </w:p>
        </w:tc>
        <w:tc>
          <w:tcPr>
            <w:tcW w:type="dxa" w:w="6406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Ergebnis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scripts/download_data.py</w:t>
            </w:r>
          </w:p>
        </w:tc>
        <w:tc>
          <w:tcPr>
            <w:tcW w:type="dxa" w:w="64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offizielle Rohdaten + Manifest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scripts/build_dataset.py</w:t>
            </w:r>
          </w:p>
        </w:tc>
        <w:tc>
          <w:tcPr>
            <w:tcW w:type="dxa" w:w="64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2.058.569 Modellzeilen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scripts/build_greix.py</w:t>
            </w:r>
          </w:p>
        </w:tc>
        <w:tc>
          <w:tcPr>
            <w:tcW w:type="dxa" w:w="64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aktuelle Zeitreihen und Marktprofile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scripts/train_final_model.py</w:t>
            </w:r>
          </w:p>
        </w:tc>
        <w:tc>
          <w:tcPr>
            <w:tcW w:type="dxa" w:w="64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Modellartefakt + Metadaten</w:t>
            </w:r>
          </w:p>
        </w:tc>
      </w:tr>
    </w:tbl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MODELL &amp; EVALUATION</w:t>
      </w:r>
    </w:p>
    <w:p>
      <w:pPr>
        <w:pStyle w:val="Title"/>
        <w:spacing w:after="100"/>
        <w:keepLines/>
      </w:pPr>
      <w:r>
        <w:rPr>
          <w:color w:val="14243A"/>
        </w:rPr>
        <w:t>Räumlich testen – nicht auf Nachbarzellen schummeln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Leakage-freier Split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477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1.518.322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Entwicklung · 465 Blöcke</w:t>
            </w:r>
          </w:p>
        </w:tc>
        <w:tc>
          <w:tcPr>
            <w:tcW w:type="dxa" w:w="3477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263.789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Kalibrierung · 99 Blöcke</w:t>
            </w:r>
          </w:p>
        </w:tc>
        <w:tc>
          <w:tcPr>
            <w:tcW w:type="dxa" w:w="3477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276.458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Finaltest · 99 Blöcke</w:t>
            </w:r>
          </w:p>
        </w:tc>
      </w:tr>
    </w:tbl>
    <w:p>
      <w:pPr>
        <w:spacing w:after="80"/>
        <w:keepLines/>
      </w:pPr>
      <w:r>
        <w:t>100-m-Zellen werden zu 25-km-Raumblöcken gruppiert. Ganze Blöcke liegen ausschließlich in Entwicklung, Kalibrierung oder finalem Test; zwischen den drei Mengen gibt es keinen gemeinsamen Block.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Fünf Modellfamilien unter identischer Spatial CV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850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Rang</w:t>
            </w:r>
          </w:p>
        </w:tc>
        <w:tc>
          <w:tcPr>
            <w:tcW w:type="dxa" w:w="3118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Modell</w:t>
            </w:r>
          </w:p>
        </w:tc>
        <w:tc>
          <w:tcPr>
            <w:tcW w:type="dxa" w:w="2381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mittlerer CV-MAE</w:t>
            </w:r>
          </w:p>
        </w:tc>
        <w:tc>
          <w:tcPr>
            <w:tcW w:type="dxa" w:w="4025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Entscheidung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HistGradientBoosting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1,305 €/m²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finales Modell</w:t>
            </w:r>
          </w:p>
        </w:tc>
      </w:tr>
      <w:tr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311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Random Forest</w:t>
            </w:r>
          </w:p>
        </w:tc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1,320 €/m²</w:t>
            </w:r>
          </w:p>
        </w:tc>
        <w:tc>
          <w:tcPr>
            <w:tcW w:type="dxa" w:w="402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Challenger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MLP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1,397 €/m²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verworfen</w:t>
            </w:r>
          </w:p>
        </w:tc>
      </w:tr>
      <w:tr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4</w:t>
            </w:r>
          </w:p>
        </w:tc>
        <w:tc>
          <w:tcPr>
            <w:tcW w:type="dxa" w:w="311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Ridge</w:t>
            </w:r>
          </w:p>
        </w:tc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1,632 €/m²</w:t>
            </w:r>
          </w:p>
        </w:tc>
        <w:tc>
          <w:tcPr>
            <w:tcW w:type="dxa" w:w="402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verworfen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5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Kategorienmedian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1,719 €/m²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Baseline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Finaler unangetasteter Test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608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1,413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MAE €/m²</w:t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0,956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Median AE €/m²</w:t>
            </w:r>
          </w:p>
        </w:tc>
        <w:tc>
          <w:tcPr>
            <w:tcW w:type="dxa" w:w="2608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0,584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R²</w:t>
            </w:r>
          </w:p>
        </w:tc>
        <w:tc>
          <w:tcPr>
            <w:tcW w:type="dxa" w:w="2608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−38,3 %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vs. Baseline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Unsicherheit ohne Schönrechnen</w:t>
      </w:r>
    </w:p>
    <w:p>
      <w:pPr>
        <w:spacing w:after="80"/>
        <w:keepLines/>
      </w:pPr>
      <w:r>
        <w:t>Split Conformal Prediction wird ausschließlich auf der separaten Kalibrierungsmenge angepasst. Das nominale 90-%-Intervall erreicht im räumlichen Test empirisch 86,8 %. Die Unterdeckung wird in App, Model Card und Risikoanalyse sichtbar ausgewiesen.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FFF2C4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B86600"/>
                <w:sz w:val="22"/>
              </w:rPr>
              <w:t>Wichtigster Befund: Neubauten generalisieren schwächer. Deshalb nutzt MietCheck kategoriespezifische Intervallbreiten.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Finale HGB-Konfiguration</w:t>
      </w:r>
    </w:p>
    <w:p>
      <w:pPr>
        <w:spacing w:after="80"/>
        <w:keepLines/>
      </w:pPr>
      <w:r>
        <w:t>learning_rate 0,06 · 300 Iterationen · 127 Blätter · mindestens 100 Zeilen je Blatt · L2-Regularisierung 5</w:t>
      </w:r>
    </w:p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PRODUKT</w:t>
      </w:r>
    </w:p>
    <w:p>
      <w:pPr>
        <w:pStyle w:val="Title"/>
        <w:spacing w:after="100"/>
        <w:keepLines/>
      </w:pPr>
      <w:r>
        <w:rPr>
          <w:color w:val="14243A"/>
        </w:rPr>
        <w:t>Methodik wird erst wertvoll, wenn sie verständlich ankommt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083999" cy="4647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eamlit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464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Berlin-Szenario: 70 m² · Baujahr 1985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477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7,27 €/m²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ML-Bestandsanker 2022</w:t>
            </w:r>
          </w:p>
        </w:tc>
        <w:tc>
          <w:tcPr>
            <w:tcW w:type="dxa" w:w="3477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15,50 €/m²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GREIX-Angebot 2026-Q1</w:t>
            </w:r>
          </w:p>
        </w:tc>
        <w:tc>
          <w:tcPr>
            <w:tcW w:type="dxa" w:w="3477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+113 %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≈ 576 € / Monat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Nutzerführung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Region, Wohnfläche, Baujahr, aktuelle Kaltmiete und optionales Haushaltsnetto eingeben.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Drei Vergleichswerte getrennt lesen; keine Zahl wird als „richtige Miete“ etikettiert.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Marktverlauf, IQR, Modellband, Datenstand und Methodik direkt am Ergebnis prüfen.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Einsatzgrenzen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4706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Fehlt im Modell</w:t>
            </w:r>
          </w:p>
        </w:tc>
        <w:tc>
          <w:tcPr>
            <w:tcW w:type="dxa" w:w="5669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Wie MietCheck damit umgeht</w:t>
            </w:r>
          </w:p>
        </w:tc>
      </w:tr>
      <w:tr>
        <w:tc>
          <w:tcPr>
            <w:tcW w:type="dxa" w:w="47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Ausstattung, Energiezustand, Etage, Mikrolage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keine adressgenaue Behauptung</w:t>
            </w:r>
          </w:p>
        </w:tc>
      </w:tr>
      <w:tr>
        <w:tc>
          <w:tcPr>
            <w:tcW w:type="dxa" w:w="47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lokale Angebote außerhalb der 37 GREIX-Märkte</w:t>
            </w:r>
          </w:p>
        </w:tc>
        <w:tc>
          <w:tcPr>
            <w:tcW w:type="dxa" w:w="56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keine erfundenen Marktwerte</w:t>
            </w:r>
          </w:p>
        </w:tc>
      </w:tr>
      <w:tr>
        <w:tc>
          <w:tcPr>
            <w:tcW w:type="dxa" w:w="47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stabile 90-%-Coverage unter räumlichem Shift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empirische 86,8 % anzeigen</w:t>
            </w:r>
          </w:p>
        </w:tc>
      </w:tr>
      <w:tr>
        <w:tc>
          <w:tcPr>
            <w:tcW w:type="dxa" w:w="47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rechtliche Besonderheiten</w:t>
            </w:r>
          </w:p>
        </w:tc>
        <w:tc>
          <w:tcPr>
            <w:tcW w:type="dxa" w:w="56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klare Abgrenzung von Mietspiegel und Rechtsberatung</w:t>
            </w:r>
          </w:p>
        </w:tc>
      </w:tr>
    </w:tbl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NACHWEISE &amp; ÜBERGABE</w:t>
      </w:r>
    </w:p>
    <w:p>
      <w:pPr>
        <w:pStyle w:val="Title"/>
        <w:spacing w:after="100"/>
        <w:keepLines/>
      </w:pPr>
      <w:r>
        <w:rPr>
          <w:color w:val="14243A"/>
        </w:rPr>
        <w:t>QUA³CK als überprüfbare Beweiskette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2268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Phase</w:t>
            </w:r>
          </w:p>
        </w:tc>
        <w:tc>
          <w:tcPr>
            <w:tcW w:type="dxa" w:w="8107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Nachweis im Projekt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Q · Qualität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Hashes, Grain, Missingness, Datenverträge</w:t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U · Understanding</w:t>
            </w:r>
          </w:p>
        </w:tc>
        <w:tc>
          <w:tcPr>
            <w:tcW w:type="dxa" w:w="810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EDA, Zielverteilung, räumliche Struktur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A¹ · Auswahl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5 Modelle unter identischer Spatial CV</w:t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A² · Anpassung</w:t>
            </w:r>
          </w:p>
        </w:tc>
        <w:tc>
          <w:tcPr>
            <w:tcW w:type="dxa" w:w="810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8 Tunings, 4 Feature-Ablationen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A³ · Anwendung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finales Artefakt, getrennte Kalibrierung</w:t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C · Comparing</w:t>
            </w:r>
          </w:p>
        </w:tc>
        <w:tc>
          <w:tcPr>
            <w:tcW w:type="dxa" w:w="810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finaler Holdout, Baseline und Subgruppen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 · Knowledge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Streamlit-App, USP und Umzugsaufschlag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E6EBFF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2F5BFF"/>
                <w:sz w:val="22"/>
              </w:rPr>
              <w:t>7/7 ausgeführte Notebooks · 33/33 Codezellen · 0 Fehleroutputs · automatisierter Ausführungsbericht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Repository und Ausführung</w:t>
      </w:r>
    </w:p>
    <w:p>
      <w:pPr>
        <w:spacing w:after="40"/>
        <w:keepLines/>
      </w:pPr>
      <w:r>
        <w:rPr>
          <w:b/>
        </w:rPr>
        <w:t>Repository:</w:t>
      </w:r>
      <w:r>
        <w:t xml:space="preserve"> </w:t>
      </w:r>
      <w:hyperlink r:id="rId12">
        <w:r>
          <w:rPr>
            <w:color w:val="2F5BFF"/>
            <w:u w:val="single"/>
          </w:rPr>
          <w:t>github.com/neleknaak-31/MietCheck</w:t>
        </w:r>
      </w:hyperlink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4592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Befehl</w:t>
            </w:r>
          </w:p>
        </w:tc>
        <w:tc>
          <w:tcPr>
            <w:tcW w:type="dxa" w:w="5783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Zweck</w:t>
            </w:r>
          </w:p>
        </w:tc>
      </w:tr>
      <w:tr>
        <w:tc>
          <w:tcPr>
            <w:tcW w:type="dxa" w:w="4592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pip install -r requirements.txt</w:t>
            </w:r>
          </w:p>
        </w:tc>
        <w:tc>
          <w:tcPr>
            <w:tcW w:type="dxa" w:w="5783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Laufzeit installieren</w:t>
            </w:r>
          </w:p>
        </w:tc>
      </w:tr>
      <w:tr>
        <w:tc>
          <w:tcPr>
            <w:tcW w:type="dxa" w:w="459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streamlit run app.py</w:t>
            </w:r>
          </w:p>
        </w:tc>
        <w:tc>
          <w:tcPr>
            <w:tcW w:type="dxa" w:w="578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App lokal starten</w:t>
            </w:r>
          </w:p>
        </w:tc>
      </w:tr>
      <w:tr>
        <w:tc>
          <w:tcPr>
            <w:tcW w:type="dxa" w:w="4592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python -m pytest -q</w:t>
            </w:r>
          </w:p>
        </w:tc>
        <w:tc>
          <w:tcPr>
            <w:tcW w:type="dxa" w:w="5783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29 Tests ausführen</w:t>
            </w:r>
          </w:p>
        </w:tc>
      </w:tr>
      <w:tr>
        <w:tc>
          <w:tcPr>
            <w:tcW w:type="dxa" w:w="459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python -m ruff check .</w:t>
            </w:r>
          </w:p>
        </w:tc>
        <w:tc>
          <w:tcPr>
            <w:tcW w:type="dxa" w:w="578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Codequalität prüfen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Zentrale Quellen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Statistische Ämter des Bundes und der Länder: Zensus 2022, 100-m-Gitterdaten, Datenlizenz Deutschland – Namensnennung 2.0.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Kiel Institut für Weltwirtschaft / VALUE: GREIX-Mietpreisindex, nominale Quartalswerte 2012-Q1 bis 2026-Q1.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Projektberichte: DATA_CARD.md, MODEL_CARD.md, RISK_AND_ETHICS.md sowie versionierte JSON-Evaluationsberichte.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Fazit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DDF3EC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0B7658"/>
                <w:sz w:val="22"/>
              </w:rPr>
              <w:t>Nicht eine „faire“ Miete, sondern drei sauber getrennte Realitäten. Der Mehrwert ist eine nachvollziehbare Umzugsentscheidung – mit Datenstand, Streuung und Modellgrenzen.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765" w:left="879" w:header="369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5728A"/>
        <w:sz w:val="16"/>
      </w:rPr>
      <w:t xml:space="preserve">MIETCHECK  ·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 Display" w:hAnsi="Aptos Display"/>
        <w:b/>
        <w:color w:val="0B7658"/>
        <w:sz w:val="18"/>
      </w:rPr>
      <w:t>MIETCHECK</w:t>
    </w:r>
    <w:r>
      <w:rPr>
        <w:rFonts w:ascii="Aptos" w:hAnsi="Aptos"/>
        <w:color w:val="65728A"/>
        <w:sz w:val="16"/>
      </w:rPr>
      <w:t xml:space="preserve">   BIG DATA &amp; DATA ANALYTICS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80"/>
    </w:pPr>
    <w:rPr>
      <w:rFonts w:ascii="Aptos" w:hAnsi="Aptos"/>
      <w:color w:val="1424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6572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github.com/neleknaak-31/MietChe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MietCheck – Handout</dc:title>
  <dc:subject>Ersatzleistung Big Data &amp; Data Analytics</dc:subject>
  <dc:creator>Nele Knaak</dc:creator>
  <cp:keywords>Big Data, Machine Learning, Streamlit, Zensus 2022, GREIX, MietCheck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