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keepNext/>
        <w:keepLines/>
      </w:pPr>
      <w:r>
        <w:rPr>
          <w:b/>
          <w:color w:val="0B7658"/>
          <w:sz w:val="18"/>
        </w:rPr>
        <w:t>PROJEKTSTECKBRIEF</w:t>
      </w:r>
    </w:p>
    <w:p>
      <w:pPr>
        <w:pStyle w:val="Title"/>
        <w:spacing w:after="100"/>
        <w:keepNext/>
        <w:keepLines/>
      </w:pPr>
      <w:r>
        <w:rPr>
          <w:color w:val="14243A"/>
        </w:rPr>
        <w:t>Drei Mietrealitäten. Eine klare Umzugsentscheidung.</w:t>
      </w:r>
    </w:p>
    <w:p>
      <w:pPr>
        <w:pStyle w:val="Subtitle"/>
        <w:spacing w:after="240"/>
        <w:keepLines/>
      </w:pPr>
      <w:r>
        <w:t>MietCheck verbindet amtlichen Wohnungsbestand, aktuellen Angebotsmarkt und persönliche Belastung – offen, reproduzierbar und mit sichtbarer Unsicherheit.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148"/>
      </w:tblGrid>
      <w:tr>
        <w:tc>
          <w:tcPr>
            <w:tcW w:type="dxa" w:w="10431"/>
            <w:shd w:fill="DDF3EC"/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0B7658"/>
                <w:sz w:val="22"/>
              </w:rPr>
              <w:t>Leitfrage: Wie lässt sich der Umzugsaufschlag mit offenen Massendaten und räumlich belastbarem Machine Learning transparent quantifizieren?</w:t>
            </w:r>
          </w:p>
        </w:tc>
      </w:tr>
    </w:tbl>
    <w:p>
      <w:pPr>
        <w:pStyle w:val="Heading2"/>
        <w:spacing w:before="180" w:after="80"/>
        <w:keepNext/>
        <w:keepLines/>
      </w:pPr>
      <w:r>
        <w:rPr>
          <w:color w:val="14243A"/>
        </w:rPr>
        <w:t>Das Problem</w:t>
      </w:r>
    </w:p>
    <w:p>
      <w:pPr>
        <w:spacing w:after="80"/>
        <w:keepLines/>
      </w:pPr>
      <w:r>
        <w:t>Bestandsmiete, heutige Angebotsmiete und persönliche Wohnkosten beschreiben unterschiedliche Realitäten. Werden sie vermischt, entsteht Scheingenauigkeit. MietCheck hält sie getrennt und zeigt ihre Differenz als Entscheidungshilfe – nicht als Rechtsauskunft.</w:t>
      </w:r>
    </w:p>
    <w:p>
      <w:pPr>
        <w:pStyle w:val="Heading2"/>
        <w:spacing w:before="180" w:after="80"/>
        <w:keepNext/>
        <w:keepLines/>
      </w:pPr>
      <w:r>
        <w:rPr>
          <w:color w:val="14243A"/>
        </w:rPr>
        <w:t>Der USP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c>
          <w:tcPr>
            <w:tcW w:type="dxa" w:w="3477"/>
            <w:shd w:fill="DDF3EC"/>
            <w:tcMar>
              <w:top w:w="13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/>
                <w:color w:val="0B7658"/>
                <w:sz w:val="34"/>
              </w:rPr>
              <w:t>Bestand</w:t>
            </w:r>
          </w:p>
          <w:p>
            <w:pPr>
              <w:spacing w:after="0"/>
              <w:jc w:val="center"/>
            </w:pPr>
            <w:r>
              <w:rPr>
                <w:color w:val="14243A"/>
                <w:sz w:val="17"/>
              </w:rPr>
              <w:t>ML-Anker · Zensus 2022</w:t>
            </w:r>
          </w:p>
        </w:tc>
        <w:tc>
          <w:tcPr>
            <w:tcW w:type="dxa" w:w="3477"/>
            <w:shd w:fill="E6EBFF"/>
            <w:tcMar>
              <w:top w:w="13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/>
                <w:color w:val="2F5BFF"/>
                <w:sz w:val="34"/>
              </w:rPr>
              <w:t>Angebot</w:t>
            </w:r>
          </w:p>
          <w:p>
            <w:pPr>
              <w:spacing w:after="0"/>
              <w:jc w:val="center"/>
            </w:pPr>
            <w:r>
              <w:rPr>
                <w:color w:val="14243A"/>
                <w:sz w:val="17"/>
              </w:rPr>
              <w:t>GREIX · 2026-Q1</w:t>
            </w:r>
          </w:p>
        </w:tc>
        <w:tc>
          <w:tcPr>
            <w:tcW w:type="dxa" w:w="3477"/>
            <w:shd w:fill="FCEAE5"/>
            <w:tcMar>
              <w:top w:w="13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/>
                <w:color w:val="ED5B3D"/>
                <w:sz w:val="34"/>
              </w:rPr>
              <w:t>Persönlich</w:t>
            </w:r>
          </w:p>
          <w:p>
            <w:pPr>
              <w:spacing w:after="0"/>
              <w:jc w:val="center"/>
            </w:pPr>
            <w:r>
              <w:rPr>
                <w:color w:val="14243A"/>
                <w:sz w:val="17"/>
              </w:rPr>
              <w:t>Vertrag + Budget</w:t>
            </w:r>
          </w:p>
        </w:tc>
      </w:tr>
    </w:tbl>
    <w:p>
      <w:pPr>
        <w:spacing w:after="120"/>
        <w:keepLines/>
      </w:pPr>
      <w:r>
        <w:t>Kein geprüftes Vergleichsangebot verbindet alle fünf Bausteine in einer quellenoffenen Anwendung: Bestand, aktueller Markt, persönliche Belastung, Modellunsicherheit und vollständig nachvollziehbare ML-Methode.</w:t>
      </w:r>
    </w:p>
    <w:p>
      <w:pPr>
        <w:pStyle w:val="Heading2"/>
        <w:spacing w:before="180" w:after="80"/>
        <w:keepNext/>
        <w:keepLines/>
      </w:pPr>
      <w:r>
        <w:rPr>
          <w:color w:val="14243A"/>
        </w:rPr>
        <w:t>Projekt in Zahlen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37"/>
        <w:gridCol w:w="2537"/>
        <w:gridCol w:w="2537"/>
        <w:gridCol w:w="2537"/>
      </w:tblGrid>
      <w:tr>
        <w:tc>
          <w:tcPr>
            <w:tcW w:type="dxa" w:w="2608"/>
            <w:shd w:fill="F1F4F3"/>
            <w:tcMar>
              <w:top w:w="13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/>
                <w:color w:val="14243A"/>
                <w:sz w:val="34"/>
              </w:rPr>
              <w:t>2,06 Mio.</w:t>
              <w:br/>
              <w:t>Modellzeilen</w:t>
            </w:r>
          </w:p>
          <w:p>
            <w:pPr>
              <w:spacing w:after="0"/>
              <w:jc w:val="center"/>
            </w:pPr>
            <w:r>
              <w:rPr>
                <w:color w:val="14243A"/>
                <w:sz w:val="17"/>
              </w:rPr>
            </w:r>
          </w:p>
        </w:tc>
        <w:tc>
          <w:tcPr>
            <w:tcW w:type="dxa" w:w="2608"/>
            <w:shd w:fill="F1F4F3"/>
            <w:tcMar>
              <w:top w:w="13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/>
                <w:color w:val="14243A"/>
                <w:sz w:val="34"/>
              </w:rPr>
              <w:t>1,18 Mio.</w:t>
              <w:br/>
              <w:t>100-m-Zellen</w:t>
            </w:r>
          </w:p>
          <w:p>
            <w:pPr>
              <w:spacing w:after="0"/>
              <w:jc w:val="center"/>
            </w:pPr>
            <w:r>
              <w:rPr>
                <w:color w:val="14243A"/>
                <w:sz w:val="17"/>
              </w:rPr>
            </w:r>
          </w:p>
        </w:tc>
        <w:tc>
          <w:tcPr>
            <w:tcW w:type="dxa" w:w="2608"/>
            <w:shd w:fill="F1F4F3"/>
            <w:tcMar>
              <w:top w:w="13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/>
                <w:color w:val="14243A"/>
                <w:sz w:val="34"/>
              </w:rPr>
              <w:t>37 + DE</w:t>
              <w:br/>
              <w:t>GREIX-Profile</w:t>
            </w:r>
          </w:p>
          <w:p>
            <w:pPr>
              <w:spacing w:after="0"/>
              <w:jc w:val="center"/>
            </w:pPr>
            <w:r>
              <w:rPr>
                <w:color w:val="14243A"/>
                <w:sz w:val="17"/>
              </w:rPr>
            </w:r>
          </w:p>
        </w:tc>
        <w:tc>
          <w:tcPr>
            <w:tcW w:type="dxa" w:w="2608"/>
            <w:shd w:fill="F1F4F3"/>
            <w:tcMar>
              <w:top w:w="13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/>
                <w:color w:val="14243A"/>
                <w:sz w:val="34"/>
              </w:rPr>
              <w:t>36</w:t>
              <w:br/>
              <w:t>automatisierte Tests</w:t>
            </w:r>
          </w:p>
          <w:p>
            <w:pPr>
              <w:spacing w:after="0"/>
              <w:jc w:val="center"/>
            </w:pPr>
            <w:r>
              <w:rPr>
                <w:color w:val="14243A"/>
                <w:sz w:val="17"/>
              </w:rPr>
            </w:r>
          </w:p>
        </w:tc>
      </w:tr>
    </w:tbl>
    <w:p>
      <w:pPr>
        <w:pStyle w:val="Heading2"/>
        <w:spacing w:before="180" w:after="80"/>
        <w:keepNext/>
        <w:keepLines/>
      </w:pPr>
      <w:r>
        <w:rPr>
          <w:color w:val="14243A"/>
        </w:rPr>
        <w:t>Positionierung</w:t>
      </w:r>
    </w:p>
    <w:p>
      <w:pPr>
        <w:pStyle w:val="ListBullet"/>
        <w:spacing w:after="50"/>
        <w:ind w:left="272" w:hanging="142"/>
        <w:keepLines/>
      </w:pPr>
      <w:r>
        <w:rPr>
          <w:color w:val="14243A"/>
        </w:rPr>
        <w:t>Explorative Entscheidungshilfe für Mietende und Umzugsinteressierte.</w:t>
      </w:r>
    </w:p>
    <w:p>
      <w:pPr>
        <w:pStyle w:val="ListBullet"/>
        <w:spacing w:after="50"/>
        <w:ind w:left="272" w:hanging="142"/>
        <w:keepLines/>
      </w:pPr>
      <w:r>
        <w:rPr>
          <w:color w:val="14243A"/>
        </w:rPr>
        <w:t>Kein amtlicher Mietspiegel, keine adressgenaue Bewertung und keine Rechtsberatung.</w:t>
      </w:r>
    </w:p>
    <w:p>
      <w:pPr>
        <w:pStyle w:val="ListBullet"/>
        <w:spacing w:after="50"/>
        <w:ind w:left="272" w:hanging="142"/>
        <w:keepLines/>
      </w:pPr>
      <w:r>
        <w:rPr>
          <w:color w:val="14243A"/>
        </w:rPr>
        <w:t>Öffentliche Quellen, versionierte Berichte, ausgeführte Notebooks und reproduzierbarer Build.</w:t>
      </w:r>
    </w:p>
    <w:p>
      <w:pPr>
        <w:spacing w:before="140" w:after="0"/>
      </w:pPr>
      <w:r>
        <w:rPr>
          <w:b/>
          <w:color w:val="65728A"/>
          <w:sz w:val="17"/>
        </w:rPr>
        <w:t>Nele Knaak  ·  Matrikelnummer: [EINTRAGEN]</w:t>
        <w:br/>
        <w:t>Ersatzleistung Big Data &amp; Data Analytics  ·  Prüfer/in: [EINTRAGEN]  ·  Abgabe: [TT.MM.JJJJ]</w:t>
      </w:r>
    </w:p>
    <w:p>
      <w:pPr>
        <w:spacing w:after="0"/>
      </w:pPr>
      <w:r>
        <w:br w:type="page"/>
      </w:r>
    </w:p>
    <w:p>
      <w:pPr>
        <w:spacing w:after="80"/>
        <w:keepNext/>
        <w:keepLines/>
      </w:pPr>
      <w:r>
        <w:rPr>
          <w:b/>
          <w:color w:val="0B7658"/>
          <w:sz w:val="18"/>
        </w:rPr>
        <w:t>DATEN &amp; PIPELINE</w:t>
      </w:r>
    </w:p>
    <w:p>
      <w:pPr>
        <w:pStyle w:val="Title"/>
        <w:spacing w:after="100"/>
        <w:keepLines/>
      </w:pPr>
      <w:r>
        <w:rPr>
          <w:color w:val="14243A"/>
        </w:rPr>
        <w:t>Groß genug für Big Data – sauber genug für Reproduzierbarkeit</w:t>
      </w:r>
    </w:p>
    <w:p>
      <w:pPr>
        <w:pStyle w:val="Heading2"/>
        <w:spacing w:before="180" w:after="80"/>
        <w:keepNext/>
        <w:keepLines/>
      </w:pPr>
      <w:r>
        <w:rPr>
          <w:color w:val="14243A"/>
        </w:rPr>
        <w:t>Zwei Datenwelten, methodisch getrennt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37"/>
        <w:gridCol w:w="2537"/>
        <w:gridCol w:w="2537"/>
        <w:gridCol w:w="2537"/>
      </w:tblGrid>
      <w:tr>
        <w:trPr>
          <w:tblHeader w:val="true"/>
        </w:trPr>
        <w:tc>
          <w:tcPr>
            <w:tcW w:type="dxa" w:w="1757"/>
            <w:shd w:fill="14243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Quelle</w:t>
            </w:r>
          </w:p>
        </w:tc>
        <w:tc>
          <w:tcPr>
            <w:tcW w:type="dxa" w:w="2381"/>
            <w:shd w:fill="14243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Rolle</w:t>
            </w:r>
          </w:p>
        </w:tc>
        <w:tc>
          <w:tcPr>
            <w:tcW w:type="dxa" w:w="3402"/>
            <w:shd w:fill="14243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Umfang / Stand</w:t>
            </w:r>
          </w:p>
        </w:tc>
        <w:tc>
          <w:tcPr>
            <w:tcW w:type="dxa" w:w="2835"/>
            <w:shd w:fill="14243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Warum getrennt?</w:t>
            </w:r>
          </w:p>
        </w:tc>
      </w:tr>
      <w:tr>
        <w:tc>
          <w:tcPr>
            <w:tcW w:type="dxa" w:w="175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6"/>
              </w:rPr>
              <w:t>Zensus 2022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6"/>
              </w:rPr>
              <w:t>Trainingsziel + Strukturmerkmale</w:t>
            </w:r>
          </w:p>
        </w:tc>
        <w:tc>
          <w:tcPr>
            <w:tcW w:type="dxa" w:w="340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6"/>
              </w:rPr>
              <w:t>7 Produkte · 100-m-Gitter · Stichtag 15.05.2022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6"/>
              </w:rPr>
              <w:t>Amtlicher Wohnungsbestand</w:t>
            </w:r>
          </w:p>
        </w:tc>
      </w:tr>
      <w:tr>
        <w:tc>
          <w:tcPr>
            <w:tcW w:type="dxa" w:w="1757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6"/>
              </w:rPr>
              <w:t>GREIX</w:t>
            </w:r>
          </w:p>
        </w:tc>
        <w:tc>
          <w:tcPr>
            <w:tcW w:type="dxa" w:w="238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6"/>
              </w:rPr>
              <w:t>Aktueller Angebotsmarkt</w:t>
            </w:r>
          </w:p>
        </w:tc>
        <w:tc>
          <w:tcPr>
            <w:tcW w:type="dxa" w:w="3402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6"/>
              </w:rPr>
              <w:t>2.166 Quartalswerte · 2012-Q1–2026-Q1</w:t>
            </w:r>
          </w:p>
        </w:tc>
        <w:tc>
          <w:tcPr>
            <w:tcW w:type="dxa" w:w="2835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6"/>
              </w:rPr>
              <w:t>Inserate statt Bestandsmieten</w:t>
            </w:r>
          </w:p>
        </w:tc>
      </w:tr>
    </w:tbl>
    <w:p>
      <w:pPr>
        <w:pStyle w:val="Heading2"/>
        <w:spacing w:before="180" w:after="80"/>
        <w:keepNext/>
        <w:keepLines/>
      </w:pPr>
      <w:r>
        <w:rPr>
          <w:color w:val="14243A"/>
        </w:rPr>
        <w:t>Vom Download zur App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148"/>
      </w:tblGrid>
      <w:tr>
        <w:tc>
          <w:tcPr>
            <w:tcW w:type="dxa" w:w="10431"/>
            <w:shd w:fill="E6EBFF"/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2F5BFF"/>
                <w:sz w:val="22"/>
              </w:rPr>
              <w:t>Download → Hash-Prüfung → Datenverträge → Join auf 100-m-Zellen → EDA → Spatial CV → Tuning → finaler Holdout → Kalibrierung → App</w:t>
            </w:r>
          </w:p>
        </w:tc>
      </w:tr>
    </w:tbl>
    <w:p>
      <w:pPr>
        <w:pStyle w:val="Heading2"/>
        <w:spacing w:before="180" w:after="80"/>
        <w:keepNext/>
        <w:keepLines/>
      </w:pPr>
      <w:r>
        <w:rPr>
          <w:color w:val="14243A"/>
        </w:rPr>
        <w:t>Qualitätssicherung</w:t>
      </w:r>
    </w:p>
    <w:p>
      <w:pPr>
        <w:pStyle w:val="ListBullet"/>
        <w:spacing w:after="50"/>
        <w:ind w:left="272" w:hanging="142"/>
        <w:keepLines/>
      </w:pPr>
      <w:r>
        <w:rPr>
          <w:color w:val="14243A"/>
        </w:rPr>
        <w:t>Offizielle Download-URLs und SHA-256-Manifest sichern Herkunft und Unverändertheit.</w:t>
      </w:r>
    </w:p>
    <w:p>
      <w:pPr>
        <w:pStyle w:val="ListBullet"/>
        <w:spacing w:after="50"/>
        <w:ind w:left="272" w:hanging="142"/>
        <w:keepLines/>
      </w:pPr>
      <w:r>
        <w:rPr>
          <w:color w:val="14243A"/>
        </w:rPr>
        <w:t>Datenverträge prüfen Spalten, Typen, Schlüssel, Kategorien, Missingness und Join-Verluste.</w:t>
      </w:r>
    </w:p>
    <w:p>
      <w:pPr>
        <w:pStyle w:val="ListBullet"/>
        <w:spacing w:after="50"/>
        <w:ind w:left="272" w:hanging="142"/>
        <w:keepLines/>
      </w:pPr>
      <w:r>
        <w:rPr>
          <w:color w:val="14243A"/>
        </w:rPr>
        <w:t>Ridge, LinearSVR und MLP erhalten Imputer und StandardScaler ausschließlich im Trainingsfold; Baumverfahren bleiben unskaliert.</w:t>
      </w:r>
    </w:p>
    <w:p>
      <w:pPr>
        <w:pStyle w:val="ListBullet"/>
        <w:spacing w:after="50"/>
        <w:ind w:left="272" w:hanging="142"/>
        <w:keepLines/>
      </w:pPr>
      <w:r>
        <w:rPr>
          <w:color w:val="14243A"/>
        </w:rPr>
        <w:t>GREIX aktualisiert nur den Marktvergleich; er wird nicht als zeitlich unpassendes Trainingsziel verwendet.</w:t>
      </w:r>
    </w:p>
    <w:p>
      <w:pPr>
        <w:pStyle w:val="Heading2"/>
        <w:spacing w:before="180" w:after="80"/>
        <w:keepNext/>
        <w:keepLines/>
      </w:pPr>
      <w:r>
        <w:rPr>
          <w:color w:val="14243A"/>
        </w:rPr>
        <w:t>Modellmatrix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74"/>
        <w:gridCol w:w="5074"/>
      </w:tblGrid>
      <w:tr>
        <w:trPr>
          <w:tblHeader w:val="true"/>
        </w:trPr>
        <w:tc>
          <w:tcPr>
            <w:tcW w:type="dxa" w:w="2381"/>
            <w:shd w:fill="14243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Dimension</w:t>
            </w:r>
          </w:p>
        </w:tc>
        <w:tc>
          <w:tcPr>
            <w:tcW w:type="dxa" w:w="7994"/>
            <w:shd w:fill="14243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Kategorien</w:t>
            </w:r>
          </w:p>
        </w:tc>
      </w:tr>
      <w:tr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6"/>
              </w:rPr>
              <w:t>Ziel</w:t>
            </w:r>
          </w:p>
        </w:tc>
        <w:tc>
          <w:tcPr>
            <w:tcW w:type="dxa" w:w="799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6"/>
              </w:rPr>
              <w:t>durchschnittliche Nettokaltmiete in €/m²</w:t>
            </w:r>
          </w:p>
        </w:tc>
      </w:tr>
      <w:tr>
        <w:tc>
          <w:tcPr>
            <w:tcW w:type="dxa" w:w="238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6"/>
              </w:rPr>
              <w:t>Raum</w:t>
            </w:r>
          </w:p>
        </w:tc>
        <w:tc>
          <w:tcPr>
            <w:tcW w:type="dxa" w:w="7994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6"/>
              </w:rPr>
              <w:t>100-m-Zelle mit Koordinaten und 25-km-Block</w:t>
            </w:r>
          </w:p>
        </w:tc>
      </w:tr>
      <w:tr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6"/>
              </w:rPr>
              <w:t>Gebäudealter</w:t>
            </w:r>
          </w:p>
        </w:tc>
        <w:tc>
          <w:tcPr>
            <w:tcW w:type="dxa" w:w="799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6"/>
              </w:rPr>
              <w:t>bis 1990 / nach 1990</w:t>
            </w:r>
          </w:p>
        </w:tc>
      </w:tr>
      <w:tr>
        <w:tc>
          <w:tcPr>
            <w:tcW w:type="dxa" w:w="238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6"/>
              </w:rPr>
              <w:t>Wohnungsgröße</w:t>
            </w:r>
          </w:p>
        </w:tc>
        <w:tc>
          <w:tcPr>
            <w:tcW w:type="dxa" w:w="7994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6"/>
              </w:rPr>
              <w:t>bis 65 m² / über 65 m²</w:t>
            </w:r>
          </w:p>
        </w:tc>
      </w:tr>
      <w:tr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6"/>
              </w:rPr>
              <w:t>Struktur</w:t>
            </w:r>
          </w:p>
        </w:tc>
        <w:tc>
          <w:tcPr>
            <w:tcW w:type="dxa" w:w="799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6"/>
              </w:rPr>
              <w:t>Gebäude-, Wohnungs-, Haushalts- und Bevölkerungsmerkmale</w:t>
            </w:r>
          </w:p>
        </w:tc>
      </w:tr>
    </w:tbl>
    <w:p>
      <w:pPr>
        <w:pStyle w:val="Heading2"/>
        <w:spacing w:before="180" w:after="80"/>
        <w:keepNext/>
        <w:keepLines/>
      </w:pPr>
      <w:r>
        <w:rPr>
          <w:color w:val="14243A"/>
        </w:rPr>
        <w:t>Reproduzierbare Kernschritte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74"/>
        <w:gridCol w:w="5074"/>
      </w:tblGrid>
      <w:tr>
        <w:trPr>
          <w:tblHeader w:val="true"/>
        </w:trPr>
        <w:tc>
          <w:tcPr>
            <w:tcW w:type="dxa" w:w="3969"/>
            <w:shd w:fill="14243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Skript</w:t>
            </w:r>
          </w:p>
        </w:tc>
        <w:tc>
          <w:tcPr>
            <w:tcW w:type="dxa" w:w="6406"/>
            <w:shd w:fill="14243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Ergebnis</w:t>
            </w:r>
          </w:p>
        </w:tc>
      </w:tr>
      <w:tr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6"/>
              </w:rPr>
              <w:t>scripts/download_data.py</w:t>
            </w:r>
          </w:p>
        </w:tc>
        <w:tc>
          <w:tcPr>
            <w:tcW w:type="dxa" w:w="640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6"/>
              </w:rPr>
              <w:t>offizielle Rohdaten + Manifest</w:t>
            </w:r>
          </w:p>
        </w:tc>
      </w:tr>
      <w:tr>
        <w:tc>
          <w:tcPr>
            <w:tcW w:type="dxa" w:w="3969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6"/>
              </w:rPr>
              <w:t>scripts/build_dataset.py</w:t>
            </w:r>
          </w:p>
        </w:tc>
        <w:tc>
          <w:tcPr>
            <w:tcW w:type="dxa" w:w="6406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6"/>
              </w:rPr>
              <w:t>2.058.569 Modellzeilen</w:t>
            </w:r>
          </w:p>
        </w:tc>
      </w:tr>
      <w:tr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6"/>
              </w:rPr>
              <w:t>scripts/build_greix.py</w:t>
            </w:r>
          </w:p>
        </w:tc>
        <w:tc>
          <w:tcPr>
            <w:tcW w:type="dxa" w:w="640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6"/>
              </w:rPr>
              <w:t>aktuelle Zeitreihen und Marktprofile</w:t>
            </w:r>
          </w:p>
        </w:tc>
      </w:tr>
      <w:tr>
        <w:tc>
          <w:tcPr>
            <w:tcW w:type="dxa" w:w="3969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6"/>
              </w:rPr>
              <w:t>scripts/train_final_model.py</w:t>
            </w:r>
          </w:p>
        </w:tc>
        <w:tc>
          <w:tcPr>
            <w:tcW w:type="dxa" w:w="6406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6"/>
              </w:rPr>
              <w:t>Modellartefakt + Metadaten</w:t>
            </w:r>
          </w:p>
        </w:tc>
      </w:tr>
    </w:tbl>
    <w:p>
      <w:pPr>
        <w:spacing w:after="0"/>
      </w:pPr>
      <w:r>
        <w:br w:type="page"/>
      </w:r>
    </w:p>
    <w:p>
      <w:pPr>
        <w:spacing w:after="80"/>
        <w:keepNext/>
        <w:keepLines/>
      </w:pPr>
      <w:r>
        <w:rPr>
          <w:b/>
          <w:color w:val="0B7658"/>
          <w:sz w:val="18"/>
        </w:rPr>
        <w:t>MODELL &amp; EVALUATION</w:t>
      </w:r>
    </w:p>
    <w:p>
      <w:pPr>
        <w:pStyle w:val="Title"/>
        <w:spacing w:after="100"/>
        <w:keepLines/>
      </w:pPr>
      <w:r>
        <w:rPr>
          <w:color w:val="14243A"/>
        </w:rPr>
        <w:t>Räumlich testen – nicht auf Nachbarzellen schummeln</w:t>
      </w:r>
    </w:p>
    <w:p>
      <w:pPr>
        <w:pStyle w:val="Heading2"/>
        <w:spacing w:before="180" w:after="80"/>
        <w:keepNext/>
        <w:keepLines/>
      </w:pPr>
      <w:r>
        <w:rPr>
          <w:color w:val="14243A"/>
        </w:rPr>
        <w:t>Leakage-freier Split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c>
          <w:tcPr>
            <w:tcW w:type="dxa" w:w="3477"/>
            <w:shd w:fill="DDF3EC"/>
            <w:tcMar>
              <w:top w:w="13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/>
                <w:color w:val="0B7658"/>
                <w:sz w:val="34"/>
              </w:rPr>
              <w:t>1.518.322</w:t>
            </w:r>
          </w:p>
          <w:p>
            <w:pPr>
              <w:spacing w:after="0"/>
              <w:jc w:val="center"/>
            </w:pPr>
            <w:r>
              <w:rPr>
                <w:color w:val="14243A"/>
                <w:sz w:val="17"/>
              </w:rPr>
              <w:t>Entwicklung · 465 Blöcke</w:t>
            </w:r>
          </w:p>
        </w:tc>
        <w:tc>
          <w:tcPr>
            <w:tcW w:type="dxa" w:w="3477"/>
            <w:shd w:fill="E6EBFF"/>
            <w:tcMar>
              <w:top w:w="13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/>
                <w:color w:val="2F5BFF"/>
                <w:sz w:val="34"/>
              </w:rPr>
              <w:t>263.789</w:t>
            </w:r>
          </w:p>
          <w:p>
            <w:pPr>
              <w:spacing w:after="0"/>
              <w:jc w:val="center"/>
            </w:pPr>
            <w:r>
              <w:rPr>
                <w:color w:val="14243A"/>
                <w:sz w:val="17"/>
              </w:rPr>
              <w:t>Kalibrierung · 99 Blöcke</w:t>
            </w:r>
          </w:p>
        </w:tc>
        <w:tc>
          <w:tcPr>
            <w:tcW w:type="dxa" w:w="3477"/>
            <w:shd w:fill="FCEAE5"/>
            <w:tcMar>
              <w:top w:w="13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/>
                <w:color w:val="ED5B3D"/>
                <w:sz w:val="34"/>
              </w:rPr>
              <w:t>276.458</w:t>
            </w:r>
          </w:p>
          <w:p>
            <w:pPr>
              <w:spacing w:after="0"/>
              <w:jc w:val="center"/>
            </w:pPr>
            <w:r>
              <w:rPr>
                <w:color w:val="14243A"/>
                <w:sz w:val="17"/>
              </w:rPr>
              <w:t>Finaltest · 99 Blöcke</w:t>
            </w:r>
          </w:p>
        </w:tc>
      </w:tr>
    </w:tbl>
    <w:p>
      <w:pPr>
        <w:spacing w:after="80"/>
        <w:keepLines/>
      </w:pPr>
      <w:r>
        <w:t>100-m-Zellen werden zu 25-km-Raumblöcken gruppiert. Ganze Blöcke liegen ausschließlich in Entwicklung, Kalibrierung oder finalem Test; zwischen den drei Mengen gibt es keinen gemeinsamen Block.</w:t>
      </w:r>
    </w:p>
    <w:p>
      <w:pPr>
        <w:pStyle w:val="Heading2"/>
        <w:spacing w:before="180" w:after="80"/>
        <w:keepNext/>
        <w:keepLines/>
      </w:pPr>
      <w:r>
        <w:rPr>
          <w:color w:val="14243A"/>
        </w:rPr>
        <w:t>Sieben Modellfamilien unter identischer Spatial CV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37"/>
        <w:gridCol w:w="2537"/>
        <w:gridCol w:w="2537"/>
        <w:gridCol w:w="2537"/>
      </w:tblGrid>
      <w:tr>
        <w:trPr>
          <w:tblHeader w:val="true"/>
        </w:trPr>
        <w:tc>
          <w:tcPr>
            <w:tcW w:type="dxa" w:w="850"/>
            <w:shd w:fill="14243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Rang</w:t>
            </w:r>
          </w:p>
        </w:tc>
        <w:tc>
          <w:tcPr>
            <w:tcW w:type="dxa" w:w="3118"/>
            <w:shd w:fill="14243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Modell</w:t>
            </w:r>
          </w:p>
        </w:tc>
        <w:tc>
          <w:tcPr>
            <w:tcW w:type="dxa" w:w="2381"/>
            <w:shd w:fill="14243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mittlerer CV-MAE</w:t>
            </w:r>
          </w:p>
        </w:tc>
        <w:tc>
          <w:tcPr>
            <w:tcW w:type="dxa" w:w="4025"/>
            <w:shd w:fill="14243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Entscheidung</w:t>
            </w:r>
          </w:p>
        </w:tc>
      </w:tr>
      <w:tr>
        <w:tc>
          <w:tcPr>
            <w:tcW w:type="dxa" w:w="85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type="dxa" w:w="311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6"/>
              </w:rPr>
              <w:t>HistGradientBoosting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6"/>
              </w:rPr>
              <w:t>1,305 €/m²</w:t>
            </w:r>
          </w:p>
        </w:tc>
        <w:tc>
          <w:tcPr>
            <w:tcW w:type="dxa" w:w="4025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6"/>
              </w:rPr>
              <w:t>finales Modell</w:t>
            </w:r>
          </w:p>
        </w:tc>
      </w:tr>
      <w:tr>
        <w:tc>
          <w:tcPr>
            <w:tcW w:type="dxa" w:w="850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  <w:tc>
          <w:tcPr>
            <w:tcW w:type="dxa" w:w="3118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6"/>
              </w:rPr>
              <w:t>Random Forest</w:t>
            </w:r>
          </w:p>
        </w:tc>
        <w:tc>
          <w:tcPr>
            <w:tcW w:type="dxa" w:w="238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6"/>
              </w:rPr>
              <w:t>1,320 €/m²</w:t>
            </w:r>
          </w:p>
        </w:tc>
        <w:tc>
          <w:tcPr>
            <w:tcW w:type="dxa" w:w="4025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6"/>
              </w:rPr>
              <w:t>Challenger</w:t>
            </w:r>
          </w:p>
        </w:tc>
      </w:tr>
      <w:tr>
        <w:tc>
          <w:tcPr>
            <w:tcW w:type="dxa" w:w="85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6"/>
              </w:rPr>
              <w:t>3</w:t>
            </w:r>
          </w:p>
        </w:tc>
        <w:tc>
          <w:tcPr>
            <w:tcW w:type="dxa" w:w="311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6"/>
              </w:rPr>
              <w:t>Decision Tree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6"/>
              </w:rPr>
              <w:t>1,393 €/m²</w:t>
            </w:r>
          </w:p>
        </w:tc>
        <w:tc>
          <w:tcPr>
            <w:tcW w:type="dxa" w:w="4025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6"/>
              </w:rPr>
              <w:t>verworfen</w:t>
            </w:r>
          </w:p>
        </w:tc>
      </w:tr>
      <w:tr>
        <w:tc>
          <w:tcPr>
            <w:tcW w:type="dxa" w:w="850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6"/>
              </w:rPr>
              <w:t>4</w:t>
            </w:r>
          </w:p>
        </w:tc>
        <w:tc>
          <w:tcPr>
            <w:tcW w:type="dxa" w:w="3118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6"/>
              </w:rPr>
              <w:t>MLP</w:t>
            </w:r>
          </w:p>
        </w:tc>
        <w:tc>
          <w:tcPr>
            <w:tcW w:type="dxa" w:w="238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6"/>
              </w:rPr>
              <w:t>1,397 €/m²</w:t>
            </w:r>
          </w:p>
        </w:tc>
        <w:tc>
          <w:tcPr>
            <w:tcW w:type="dxa" w:w="4025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6"/>
              </w:rPr>
              <w:t>verworfen</w:t>
            </w:r>
          </w:p>
        </w:tc>
      </w:tr>
      <w:tr>
        <w:tc>
          <w:tcPr>
            <w:tcW w:type="dxa" w:w="85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6"/>
              </w:rPr>
              <w:t>5</w:t>
            </w:r>
          </w:p>
        </w:tc>
        <w:tc>
          <w:tcPr>
            <w:tcW w:type="dxa" w:w="311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6"/>
              </w:rPr>
              <w:t>Ridge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6"/>
              </w:rPr>
              <w:t>1,632 €/m²</w:t>
            </w:r>
          </w:p>
        </w:tc>
        <w:tc>
          <w:tcPr>
            <w:tcW w:type="dxa" w:w="4025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6"/>
              </w:rPr>
              <w:t>verworfen</w:t>
            </w:r>
          </w:p>
        </w:tc>
      </w:tr>
      <w:tr>
        <w:tc>
          <w:tcPr>
            <w:tcW w:type="dxa" w:w="85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6"/>
              </w:rPr>
              <w:t>6</w:t>
            </w:r>
          </w:p>
        </w:tc>
        <w:tc>
          <w:tcPr>
            <w:tcW w:type="dxa" w:w="311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6"/>
              </w:rPr>
              <w:t>LinearSVR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6"/>
              </w:rPr>
              <w:t>1,635 €/m²</w:t>
            </w:r>
          </w:p>
        </w:tc>
        <w:tc>
          <w:tcPr>
            <w:tcW w:type="dxa" w:w="4025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6"/>
              </w:rPr>
              <w:t>verworfen</w:t>
            </w:r>
          </w:p>
        </w:tc>
      </w:tr>
      <w:tr>
        <w:tc>
          <w:tcPr>
            <w:tcW w:type="dxa" w:w="85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6"/>
              </w:rPr>
              <w:t>7</w:t>
            </w:r>
          </w:p>
        </w:tc>
        <w:tc>
          <w:tcPr>
            <w:tcW w:type="dxa" w:w="311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6"/>
              </w:rPr>
              <w:t>Kategorienmedian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6"/>
              </w:rPr>
              <w:t>1,719 €/m²</w:t>
            </w:r>
          </w:p>
        </w:tc>
        <w:tc>
          <w:tcPr>
            <w:tcW w:type="dxa" w:w="4025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6"/>
              </w:rPr>
              <w:t>Baseline</w:t>
            </w:r>
          </w:p>
        </w:tc>
      </w:tr>
    </w:tbl>
    <w:p>
      <w:pPr>
        <w:pStyle w:val="Heading2"/>
        <w:spacing w:before="180" w:after="80"/>
        <w:keepNext/>
        <w:keepLines/>
      </w:pPr>
      <w:r>
        <w:rPr>
          <w:color w:val="14243A"/>
        </w:rPr>
        <w:t>Finaler unangetasteter Test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37"/>
        <w:gridCol w:w="2537"/>
        <w:gridCol w:w="2537"/>
        <w:gridCol w:w="2537"/>
      </w:tblGrid>
      <w:tr>
        <w:tc>
          <w:tcPr>
            <w:tcW w:type="dxa" w:w="2608"/>
            <w:shd w:fill="DDF3EC"/>
            <w:tcMar>
              <w:top w:w="13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/>
                <w:color w:val="0B7658"/>
                <w:sz w:val="34"/>
              </w:rPr>
              <w:t>1,413</w:t>
            </w:r>
          </w:p>
          <w:p>
            <w:pPr>
              <w:spacing w:after="0"/>
              <w:jc w:val="center"/>
            </w:pPr>
            <w:r>
              <w:rPr>
                <w:color w:val="14243A"/>
                <w:sz w:val="17"/>
              </w:rPr>
              <w:t>MAE €/m²</w:t>
            </w:r>
          </w:p>
        </w:tc>
        <w:tc>
          <w:tcPr>
            <w:tcW w:type="dxa" w:w="2608"/>
            <w:shd w:fill="F1F4F3"/>
            <w:tcMar>
              <w:top w:w="13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/>
                <w:color w:val="14243A"/>
                <w:sz w:val="34"/>
              </w:rPr>
              <w:t>0,956</w:t>
            </w:r>
          </w:p>
          <w:p>
            <w:pPr>
              <w:spacing w:after="0"/>
              <w:jc w:val="center"/>
            </w:pPr>
            <w:r>
              <w:rPr>
                <w:color w:val="14243A"/>
                <w:sz w:val="17"/>
              </w:rPr>
              <w:t>Median AE €/m²</w:t>
            </w:r>
          </w:p>
        </w:tc>
        <w:tc>
          <w:tcPr>
            <w:tcW w:type="dxa" w:w="2608"/>
            <w:shd w:fill="E6EBFF"/>
            <w:tcMar>
              <w:top w:w="13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/>
                <w:color w:val="2F5BFF"/>
                <w:sz w:val="34"/>
              </w:rPr>
              <w:t>0,584</w:t>
            </w:r>
          </w:p>
          <w:p>
            <w:pPr>
              <w:spacing w:after="0"/>
              <w:jc w:val="center"/>
            </w:pPr>
            <w:r>
              <w:rPr>
                <w:color w:val="14243A"/>
                <w:sz w:val="17"/>
              </w:rPr>
              <w:t>R²</w:t>
            </w:r>
          </w:p>
        </w:tc>
        <w:tc>
          <w:tcPr>
            <w:tcW w:type="dxa" w:w="2608"/>
            <w:shd w:fill="FCEAE5"/>
            <w:tcMar>
              <w:top w:w="13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/>
                <w:color w:val="ED5B3D"/>
                <w:sz w:val="34"/>
              </w:rPr>
              <w:t>−38,3 %</w:t>
            </w:r>
          </w:p>
          <w:p>
            <w:pPr>
              <w:spacing w:after="0"/>
              <w:jc w:val="center"/>
            </w:pPr>
            <w:r>
              <w:rPr>
                <w:color w:val="14243A"/>
                <w:sz w:val="17"/>
              </w:rPr>
              <w:t>vs. Baseline</w:t>
            </w:r>
          </w:p>
        </w:tc>
      </w:tr>
    </w:tbl>
    <w:p>
      <w:pPr>
        <w:pStyle w:val="Heading2"/>
        <w:spacing w:before="180" w:after="80"/>
        <w:keepNext/>
        <w:keepLines/>
      </w:pPr>
      <w:r>
        <w:rPr>
          <w:color w:val="14243A"/>
        </w:rPr>
        <w:t>Unsicherheit ohne Schönrechnen</w:t>
      </w:r>
    </w:p>
    <w:p>
      <w:pPr>
        <w:spacing w:after="80"/>
        <w:keepLines/>
      </w:pPr>
      <w:r>
        <w:t>Split Conformal Prediction wird ausschließlich auf der separaten Kalibrierungsmenge angepasst. Das nominale 90-%-Intervall erreicht im räumlichen Test empirisch 86,8 %. Die Unterdeckung wird in App, Model Card und Risikoanalyse sichtbar ausgewiesen.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148"/>
      </w:tblGrid>
      <w:tr>
        <w:tc>
          <w:tcPr>
            <w:tcW w:type="dxa" w:w="10431"/>
            <w:shd w:fill="FFF2C4"/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B86600"/>
                <w:sz w:val="22"/>
              </w:rPr>
              <w:t>Wichtigster Befund: Neubauten generalisieren schwächer. Deshalb nutzt MietCheck kategoriespezifische Intervallbreiten.</w:t>
            </w:r>
          </w:p>
        </w:tc>
      </w:tr>
    </w:tbl>
    <w:p>
      <w:pPr>
        <w:pStyle w:val="Heading2"/>
        <w:spacing w:before="180" w:after="80"/>
        <w:keepNext/>
        <w:keepLines/>
      </w:pPr>
      <w:r>
        <w:rPr>
          <w:color w:val="14243A"/>
        </w:rPr>
        <w:t>Finale HGB-Konfiguration</w:t>
      </w:r>
    </w:p>
    <w:p>
      <w:pPr>
        <w:spacing w:after="80"/>
        <w:keepLines/>
      </w:pPr>
      <w:r>
        <w:t>learning_rate 0,06 · 300 Iterationen · 127 Blätter · mindestens 100 Zeilen je Blatt · L2-Regularisierung 5. Ergänzend schlägt RBF-SVR LinearSVR auf einer transparenten 10k-Machbarkeitsstichprobe, wird wegen der Skalierungskosten aber nicht auf 600.000 Zeilen trainiert.</w:t>
      </w:r>
    </w:p>
    <w:p>
      <w:pPr>
        <w:spacing w:after="0"/>
      </w:pPr>
      <w:r>
        <w:br w:type="page"/>
      </w:r>
    </w:p>
    <w:p>
      <w:pPr>
        <w:spacing w:after="80"/>
        <w:keepNext/>
        <w:keepLines/>
      </w:pPr>
      <w:r>
        <w:rPr>
          <w:b/>
          <w:color w:val="0B7658"/>
          <w:sz w:val="18"/>
        </w:rPr>
        <w:t>PRODUKT</w:t>
      </w:r>
    </w:p>
    <w:p>
      <w:pPr>
        <w:pStyle w:val="Title"/>
        <w:spacing w:after="100"/>
        <w:keepLines/>
      </w:pPr>
      <w:r>
        <w:rPr>
          <w:color w:val="14243A"/>
        </w:rPr>
        <w:t>Methodik wird erst wertvoll, wenn sie verständlich ankommt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6083999" cy="4647499"/>
            <wp:docPr id="1" name="Picture 1" descr="Screenshot der MietCheck-Streamlit-App im Berlin-Szenario mit Bestandsanker, Angebotsmarkt und Umzugsaufschlag." title="MietCheck-App – Berlin-Szenari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reamlit_overvie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83999" cy="4647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spacing w:before="180" w:after="80"/>
        <w:keepNext/>
        <w:keepLines/>
      </w:pPr>
      <w:r>
        <w:rPr>
          <w:color w:val="14243A"/>
        </w:rPr>
        <w:t>Berlin-Szenario: 70 m² · Baujahr 1985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c>
          <w:tcPr>
            <w:tcW w:type="dxa" w:w="3477"/>
            <w:shd w:fill="DDF3EC"/>
            <w:tcMar>
              <w:top w:w="13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/>
                <w:color w:val="0B7658"/>
                <w:sz w:val="34"/>
              </w:rPr>
              <w:t>7,27 €/m²</w:t>
            </w:r>
          </w:p>
          <w:p>
            <w:pPr>
              <w:spacing w:after="0"/>
              <w:jc w:val="center"/>
            </w:pPr>
            <w:r>
              <w:rPr>
                <w:color w:val="14243A"/>
                <w:sz w:val="17"/>
              </w:rPr>
              <w:t>ML-Bestandsanker 2022</w:t>
            </w:r>
          </w:p>
        </w:tc>
        <w:tc>
          <w:tcPr>
            <w:tcW w:type="dxa" w:w="3477"/>
            <w:shd w:fill="E6EBFF"/>
            <w:tcMar>
              <w:top w:w="13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/>
                <w:color w:val="2F5BFF"/>
                <w:sz w:val="34"/>
              </w:rPr>
              <w:t>15,50 €/m²</w:t>
            </w:r>
          </w:p>
          <w:p>
            <w:pPr>
              <w:spacing w:after="0"/>
              <w:jc w:val="center"/>
            </w:pPr>
            <w:r>
              <w:rPr>
                <w:color w:val="14243A"/>
                <w:sz w:val="17"/>
              </w:rPr>
              <w:t>GREIX-Angebot 2026-Q1</w:t>
            </w:r>
          </w:p>
        </w:tc>
        <w:tc>
          <w:tcPr>
            <w:tcW w:type="dxa" w:w="3477"/>
            <w:shd w:fill="FCEAE5"/>
            <w:tcMar>
              <w:top w:w="13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/>
                <w:color w:val="ED5B3D"/>
                <w:sz w:val="34"/>
              </w:rPr>
              <w:t>+113 %</w:t>
            </w:r>
          </w:p>
          <w:p>
            <w:pPr>
              <w:spacing w:after="0"/>
              <w:jc w:val="center"/>
            </w:pPr>
            <w:r>
              <w:rPr>
                <w:color w:val="14243A"/>
                <w:sz w:val="17"/>
              </w:rPr>
              <w:t>≈ 576 € / Monat</w:t>
            </w:r>
          </w:p>
        </w:tc>
      </w:tr>
    </w:tbl>
    <w:p>
      <w:pPr>
        <w:pStyle w:val="Heading2"/>
        <w:spacing w:before="180" w:after="80"/>
        <w:keepNext/>
        <w:keepLines/>
      </w:pPr>
      <w:r>
        <w:rPr>
          <w:color w:val="14243A"/>
        </w:rPr>
        <w:t>Nutzerführung</w:t>
      </w:r>
    </w:p>
    <w:p>
      <w:pPr>
        <w:pStyle w:val="ListBullet"/>
        <w:spacing w:after="50"/>
        <w:ind w:left="272" w:hanging="142"/>
        <w:keepLines/>
      </w:pPr>
      <w:r>
        <w:rPr>
          <w:color w:val="14243A"/>
        </w:rPr>
        <w:t>Region, Wohnfläche, Baujahr, aktuelle Kaltmiete und optionales Haushaltsnetto eingeben.</w:t>
      </w:r>
    </w:p>
    <w:p>
      <w:pPr>
        <w:pStyle w:val="ListBullet"/>
        <w:spacing w:after="50"/>
        <w:ind w:left="272" w:hanging="142"/>
        <w:keepLines/>
      </w:pPr>
      <w:r>
        <w:rPr>
          <w:color w:val="14243A"/>
        </w:rPr>
        <w:t>Drei Vergleichswerte getrennt lesen; keine Zahl wird als „richtige Miete“ etikettiert.</w:t>
      </w:r>
    </w:p>
    <w:p>
      <w:pPr>
        <w:pStyle w:val="ListBullet"/>
        <w:spacing w:after="50"/>
        <w:ind w:left="272" w:hanging="142"/>
        <w:keepLines/>
      </w:pPr>
      <w:r>
        <w:rPr>
          <w:color w:val="14243A"/>
        </w:rPr>
        <w:t>Marktverlauf, IQR, Modellband, Datenstand und Methodik direkt am Ergebnis prüfen.</w:t>
      </w:r>
    </w:p>
    <w:p>
      <w:pPr>
        <w:pStyle w:val="Heading2"/>
        <w:spacing w:before="180" w:after="80"/>
        <w:keepNext/>
        <w:keepLines/>
      </w:pPr>
      <w:r>
        <w:rPr>
          <w:color w:val="14243A"/>
        </w:rPr>
        <w:t>Einsatzgrenzen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74"/>
        <w:gridCol w:w="5074"/>
      </w:tblGrid>
      <w:tr>
        <w:trPr>
          <w:tblHeader w:val="true"/>
        </w:trPr>
        <w:tc>
          <w:tcPr>
            <w:tcW w:type="dxa" w:w="4706"/>
            <w:shd w:fill="14243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Fehlt im Modell</w:t>
            </w:r>
          </w:p>
        </w:tc>
        <w:tc>
          <w:tcPr>
            <w:tcW w:type="dxa" w:w="5669"/>
            <w:shd w:fill="14243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Wie MietCheck damit umgeht</w:t>
            </w:r>
          </w:p>
        </w:tc>
      </w:tr>
      <w:tr>
        <w:tc>
          <w:tcPr>
            <w:tcW w:type="dxa" w:w="470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6"/>
              </w:rPr>
              <w:t>Ausstattung, Energiezustand, Etage, Mikrolage</w:t>
            </w:r>
          </w:p>
        </w:tc>
        <w:tc>
          <w:tcPr>
            <w:tcW w:type="dxa" w:w="566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6"/>
              </w:rPr>
              <w:t>keine adressgenaue Behauptung</w:t>
            </w:r>
          </w:p>
        </w:tc>
      </w:tr>
      <w:tr>
        <w:tc>
          <w:tcPr>
            <w:tcW w:type="dxa" w:w="4706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6"/>
              </w:rPr>
              <w:t>lokale Angebote außerhalb der 37 GREIX-Märkte</w:t>
            </w:r>
          </w:p>
        </w:tc>
        <w:tc>
          <w:tcPr>
            <w:tcW w:type="dxa" w:w="5669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6"/>
              </w:rPr>
              <w:t>keine erfundenen Marktwerte</w:t>
            </w:r>
          </w:p>
        </w:tc>
      </w:tr>
      <w:tr>
        <w:tc>
          <w:tcPr>
            <w:tcW w:type="dxa" w:w="470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6"/>
              </w:rPr>
              <w:t>stabile 90-%-Coverage unter räumlichem Shift</w:t>
            </w:r>
          </w:p>
        </w:tc>
        <w:tc>
          <w:tcPr>
            <w:tcW w:type="dxa" w:w="566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6"/>
              </w:rPr>
              <w:t>empirische 86,8 % anzeigen</w:t>
            </w:r>
          </w:p>
        </w:tc>
      </w:tr>
      <w:tr>
        <w:tc>
          <w:tcPr>
            <w:tcW w:type="dxa" w:w="4706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6"/>
              </w:rPr>
              <w:t>rechtliche Besonderheiten</w:t>
            </w:r>
          </w:p>
        </w:tc>
        <w:tc>
          <w:tcPr>
            <w:tcW w:type="dxa" w:w="5669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6"/>
              </w:rPr>
              <w:t>klare Abgrenzung von Mietspiegel und Rechtsberatung</w:t>
            </w:r>
          </w:p>
        </w:tc>
      </w:tr>
    </w:tbl>
    <w:p>
      <w:pPr>
        <w:spacing w:after="0"/>
      </w:pPr>
      <w:r>
        <w:br w:type="page"/>
      </w:r>
    </w:p>
    <w:p>
      <w:pPr>
        <w:spacing w:after="80"/>
        <w:keepNext/>
        <w:keepLines/>
      </w:pPr>
      <w:r>
        <w:rPr>
          <w:b/>
          <w:color w:val="0B7658"/>
          <w:sz w:val="18"/>
        </w:rPr>
        <w:t>NACHWEISE &amp; ÜBERGABE</w:t>
      </w:r>
    </w:p>
    <w:p>
      <w:pPr>
        <w:pStyle w:val="Title"/>
        <w:spacing w:after="100"/>
        <w:keepLines/>
      </w:pPr>
      <w:r>
        <w:rPr>
          <w:color w:val="14243A"/>
        </w:rPr>
        <w:t>QUA³CK als überprüfbare Beweiskette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74"/>
        <w:gridCol w:w="5074"/>
      </w:tblGrid>
      <w:tr>
        <w:trPr>
          <w:tblHeader w:val="true"/>
        </w:trPr>
        <w:tc>
          <w:tcPr>
            <w:tcW w:type="dxa" w:w="2268"/>
            <w:shd w:fill="14243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Phase</w:t>
            </w:r>
          </w:p>
        </w:tc>
        <w:tc>
          <w:tcPr>
            <w:tcW w:type="dxa" w:w="8107"/>
            <w:shd w:fill="14243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Nachweis im Projekt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6"/>
              </w:rPr>
              <w:t>Q · Question</w:t>
            </w:r>
          </w:p>
        </w:tc>
        <w:tc>
          <w:tcPr>
            <w:tcW w:type="dxa" w:w="810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6"/>
              </w:rPr>
              <w:t>Leitfrage, Zielgruppe, USP und Erfolgsgates</w:t>
            </w:r>
          </w:p>
        </w:tc>
      </w:tr>
      <w:tr>
        <w:tc>
          <w:tcPr>
            <w:tcW w:type="dxa" w:w="2268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6"/>
              </w:rPr>
              <w:t>U · Understanding</w:t>
            </w:r>
          </w:p>
        </w:tc>
        <w:tc>
          <w:tcPr>
            <w:tcW w:type="dxa" w:w="8107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6"/>
              </w:rPr>
              <w:t>Datenherkunft, EDA, Datenqualität und StandardScaler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6"/>
              </w:rPr>
              <w:t>A¹ · Auswahl</w:t>
            </w:r>
          </w:p>
        </w:tc>
        <w:tc>
          <w:tcPr>
            <w:tcW w:type="dxa" w:w="810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6"/>
              </w:rPr>
              <w:t>7 Kandidaten unter Spatial CV plus Linear- vs. RBF-SVR</w:t>
            </w:r>
          </w:p>
        </w:tc>
      </w:tr>
      <w:tr>
        <w:tc>
          <w:tcPr>
            <w:tcW w:type="dxa" w:w="2268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6"/>
              </w:rPr>
              <w:t>A² · Anpassung</w:t>
            </w:r>
          </w:p>
        </w:tc>
        <w:tc>
          <w:tcPr>
            <w:tcW w:type="dxa" w:w="8107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6"/>
              </w:rPr>
              <w:t>4 Feature-Ablationen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6"/>
              </w:rPr>
              <w:t>A³ · Anwendung</w:t>
            </w:r>
          </w:p>
        </w:tc>
        <w:tc>
          <w:tcPr>
            <w:tcW w:type="dxa" w:w="810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6"/>
              </w:rPr>
              <w:t>8 HGB-Tunings und finales Artefakt</w:t>
            </w:r>
          </w:p>
        </w:tc>
      </w:tr>
      <w:tr>
        <w:tc>
          <w:tcPr>
            <w:tcW w:type="dxa" w:w="2268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6"/>
              </w:rPr>
              <w:t>C · Comparing</w:t>
            </w:r>
          </w:p>
        </w:tc>
        <w:tc>
          <w:tcPr>
            <w:tcW w:type="dxa" w:w="8107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6"/>
              </w:rPr>
              <w:t>finaler Holdout, Unsicherheit und Subgruppen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6"/>
              </w:rPr>
              <w:t>K · Knowledge</w:t>
            </w:r>
          </w:p>
        </w:tc>
        <w:tc>
          <w:tcPr>
            <w:tcW w:type="dxa" w:w="810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6"/>
              </w:rPr>
              <w:t>Streamlit-App, USP und Grenzen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148"/>
      </w:tblGrid>
      <w:tr>
        <w:tc>
          <w:tcPr>
            <w:tcW w:type="dxa" w:w="10431"/>
            <w:shd w:fill="E6EBFF"/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2F5BFF"/>
                <w:sz w:val="22"/>
              </w:rPr>
              <w:t>4/4 Phasen-Notebooks geprüft · Q bewusst ohne Code · 11/11 Analysezellen ausgeführt · 0 Fehleroutputs · K-Phase als Transfer-Artefakt</w:t>
            </w:r>
          </w:p>
        </w:tc>
      </w:tr>
    </w:tbl>
    <w:p>
      <w:pPr>
        <w:pStyle w:val="Heading2"/>
        <w:spacing w:before="180" w:after="80"/>
        <w:keepNext/>
        <w:keepLines/>
      </w:pPr>
      <w:r>
        <w:rPr>
          <w:color w:val="14243A"/>
        </w:rPr>
        <w:t>Repository und Ausführung</w:t>
      </w:r>
    </w:p>
    <w:p>
      <w:pPr>
        <w:spacing w:after="40"/>
        <w:keepLines/>
      </w:pPr>
      <w:r>
        <w:rPr>
          <w:b/>
        </w:rPr>
        <w:t>Repository:</w:t>
      </w:r>
      <w:r>
        <w:t xml:space="preserve"> </w:t>
      </w:r>
      <w:hyperlink r:id="rId12">
        <w:r>
          <w:rPr>
            <w:color w:val="2F5BFF"/>
            <w:u w:val="single"/>
          </w:rPr>
          <w:t>github.com/neleknaak-31/MietCheck</w:t>
        </w:r>
      </w:hyperlink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74"/>
        <w:gridCol w:w="5074"/>
      </w:tblGrid>
      <w:tr>
        <w:trPr>
          <w:tblHeader w:val="true"/>
        </w:trPr>
        <w:tc>
          <w:tcPr>
            <w:tcW w:type="dxa" w:w="4592"/>
            <w:shd w:fill="14243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Befehl</w:t>
            </w:r>
          </w:p>
        </w:tc>
        <w:tc>
          <w:tcPr>
            <w:tcW w:type="dxa" w:w="5783"/>
            <w:shd w:fill="14243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Zweck</w:t>
            </w:r>
          </w:p>
        </w:tc>
      </w:tr>
      <w:tr>
        <w:tc>
          <w:tcPr>
            <w:tcW w:type="dxa" w:w="459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6"/>
              </w:rPr>
              <w:t>pip install -r requirements-dev.txt</w:t>
            </w:r>
          </w:p>
        </w:tc>
        <w:tc>
          <w:tcPr>
            <w:tcW w:type="dxa" w:w="578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6"/>
              </w:rPr>
              <w:t>Laufzeit, Entwicklung und Tests installieren</w:t>
            </w:r>
          </w:p>
        </w:tc>
      </w:tr>
      <w:tr>
        <w:tc>
          <w:tcPr>
            <w:tcW w:type="dxa" w:w="4592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6"/>
              </w:rPr>
              <w:t>streamlit run app.py</w:t>
            </w:r>
          </w:p>
        </w:tc>
        <w:tc>
          <w:tcPr>
            <w:tcW w:type="dxa" w:w="5783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6"/>
              </w:rPr>
              <w:t>App lokal starten</w:t>
            </w:r>
          </w:p>
        </w:tc>
      </w:tr>
      <w:tr>
        <w:tc>
          <w:tcPr>
            <w:tcW w:type="dxa" w:w="459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6"/>
              </w:rPr>
              <w:t>python -m pytest -q</w:t>
            </w:r>
          </w:p>
        </w:tc>
        <w:tc>
          <w:tcPr>
            <w:tcW w:type="dxa" w:w="578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6"/>
              </w:rPr>
              <w:t>36 Tests ausführen</w:t>
            </w:r>
          </w:p>
        </w:tc>
      </w:tr>
      <w:tr>
        <w:tc>
          <w:tcPr>
            <w:tcW w:type="dxa" w:w="4592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6"/>
              </w:rPr>
              <w:t>python -m ruff check .</w:t>
            </w:r>
          </w:p>
        </w:tc>
        <w:tc>
          <w:tcPr>
            <w:tcW w:type="dxa" w:w="5783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6"/>
              </w:rPr>
              <w:t>Codequalität prüfen</w:t>
            </w:r>
          </w:p>
        </w:tc>
      </w:tr>
    </w:tbl>
    <w:p>
      <w:pPr>
        <w:pStyle w:val="Heading2"/>
        <w:spacing w:before="180" w:after="80"/>
        <w:keepNext/>
        <w:keepLines/>
      </w:pPr>
      <w:r>
        <w:rPr>
          <w:color w:val="14243A"/>
        </w:rPr>
        <w:t>Zentrale Quellen</w:t>
      </w:r>
    </w:p>
    <w:p>
      <w:pPr>
        <w:pStyle w:val="ListBullet"/>
        <w:spacing w:after="50"/>
        <w:ind w:left="272" w:hanging="142"/>
        <w:keepLines/>
      </w:pPr>
      <w:r>
        <w:rPr>
          <w:color w:val="14243A"/>
        </w:rPr>
        <w:t>Statistische Ämter des Bundes und der Länder: Zensus 2022, 100-m-Gitterdaten, Datenlizenz Deutschland – Namensnennung 2.0.</w:t>
      </w:r>
    </w:p>
    <w:p>
      <w:pPr>
        <w:pStyle w:val="ListBullet"/>
        <w:spacing w:after="50"/>
        <w:ind w:left="272" w:hanging="142"/>
        <w:keepLines/>
      </w:pPr>
      <w:r>
        <w:rPr>
          <w:color w:val="14243A"/>
        </w:rPr>
        <w:t>Kiel Institut für Weltwirtschaft / VALUE: GREIX-Mietpreisindex, nominale Quartalswerte 2012-Q1 bis 2026-Q1.</w:t>
      </w:r>
    </w:p>
    <w:p>
      <w:pPr>
        <w:pStyle w:val="ListBullet"/>
        <w:spacing w:after="50"/>
        <w:ind w:left="272" w:hanging="142"/>
        <w:keepLines/>
      </w:pPr>
      <w:r>
        <w:rPr>
          <w:color w:val="14243A"/>
        </w:rPr>
        <w:t>Projektberichte: DATA_CARD.md, MODEL_CARD.md, RISK_AND_ETHICS.md sowie versionierte JSON-Evaluationsberichte.</w:t>
      </w:r>
    </w:p>
    <w:p>
      <w:pPr>
        <w:pStyle w:val="Heading2"/>
        <w:spacing w:before="180" w:after="80"/>
        <w:keepNext/>
        <w:keepLines/>
      </w:pPr>
      <w:r>
        <w:rPr>
          <w:color w:val="14243A"/>
        </w:rPr>
        <w:t>Fazit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148"/>
      </w:tblGrid>
      <w:tr>
        <w:tc>
          <w:tcPr>
            <w:tcW w:type="dxa" w:w="10431"/>
            <w:shd w:fill="DDF3EC"/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0B7658"/>
                <w:sz w:val="22"/>
              </w:rPr>
              <w:t>Nicht eine „faire“ Miete, sondern drei sauber getrennte Realitäten. Der Mehrwert ist eine nachvollziehbare Umzugsentscheidung – mit Datenstand, Streuung und Modellgrenzen.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822" w:right="879" w:bottom="765" w:left="879" w:header="369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color w:val="65728A"/>
        <w:sz w:val="16"/>
      </w:rPr>
      <w:t xml:space="preserve">MIETCHECK  · 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>
      <w:rPr>
        <w:rFonts w:ascii="Aptos Display" w:hAnsi="Aptos Display"/>
        <w:b/>
        <w:color w:val="0B7658"/>
        <w:sz w:val="18"/>
      </w:rPr>
      <w:t>MIETCHECK</w:t>
    </w:r>
    <w:r>
      <w:rPr>
        <w:rFonts w:ascii="Aptos" w:hAnsi="Aptos"/>
        <w:color w:val="65728A"/>
        <w:sz w:val="16"/>
      </w:rPr>
      <w:t xml:space="preserve">   BIG DATA &amp; DATA ANALYTICS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80"/>
    </w:pPr>
    <w:rPr>
      <w:rFonts w:ascii="Aptos" w:hAnsi="Aptos"/>
      <w:color w:val="14243A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i/>
      <w:iCs/>
      <w:color w:val="65728A"/>
      <w:spacing w:val="15"/>
      <w:sz w:val="23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hyperlink" Target="https://github.com/neleknaak-31/MietChec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MietCheck – Handout</dc:title>
  <dc:subject>Ersatzleistung Big Data &amp; Data Analytics</dc:subject>
  <dc:creator>Nele Knaak</dc:creator>
  <cp:keywords>Big Data, Machine Learning, Streamlit, Zensus 2022, GREIX, MietCheck</cp:keywords>
  <dc:description>Synchronisiert mit QUA³CK-Notebooks, Sieben-Modell-Benchmark und 35 Tests.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