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55" w:rsidRDefault="005355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ÕPILASE INDIVIDUAALSE ARENGU JÄLGIMISE KAART</w:t>
      </w:r>
    </w:p>
    <w:p w:rsidR="00191560" w:rsidRDefault="00191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Koolinimi</w:t>
      </w:r>
    </w:p>
    <w:p w:rsidR="00365155" w:rsidRDefault="005355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ÕPILASE ANDMED: </w:t>
      </w:r>
    </w:p>
    <w:p w:rsidR="00365155" w:rsidRDefault="005355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1560">
        <w:rPr>
          <w:rFonts w:ascii="Times New Roman" w:eastAsia="Times New Roman" w:hAnsi="Times New Roman" w:cs="Times New Roman"/>
          <w:sz w:val="24"/>
          <w:szCs w:val="24"/>
        </w:rPr>
        <w:t>õpilane</w:t>
      </w:r>
    </w:p>
    <w:p w:rsidR="00365155" w:rsidRDefault="005355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Sünniaeg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(isikukood): </w:t>
      </w:r>
      <w:r w:rsidR="00191560">
        <w:rPr>
          <w:rFonts w:ascii="Times New Roman" w:eastAsia="Times New Roman" w:hAnsi="Times New Roman" w:cs="Times New Roman"/>
          <w:sz w:val="24"/>
          <w:szCs w:val="24"/>
        </w:rPr>
        <w:t>xxxxxxxxxxxxxx</w:t>
      </w:r>
    </w:p>
    <w:p w:rsidR="00191560" w:rsidRDefault="001915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Klass: x</w:t>
      </w:r>
    </w:p>
    <w:p w:rsidR="00365155" w:rsidRDefault="005355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Kodune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keel: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eesti</w:t>
      </w:r>
    </w:p>
    <w:p w:rsidR="00365155" w:rsidRDefault="005355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Lapsevanema nõusolek kaardi avamiseks: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nõusolek olemas</w:t>
      </w:r>
    </w:p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5355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ÕPILUGU</w:t>
      </w:r>
    </w:p>
    <w:p w:rsidR="00365155" w:rsidRDefault="0019156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Õpilane</w:t>
      </w:r>
      <w:r w:rsidR="005355E5">
        <w:rPr>
          <w:rFonts w:ascii="Times New Roman" w:eastAsia="Times New Roman" w:hAnsi="Times New Roman" w:cs="Times New Roman"/>
          <w:sz w:val="24"/>
          <w:szCs w:val="24"/>
        </w:rPr>
        <w:t xml:space="preserve"> õpib </w:t>
      </w:r>
      <w:r>
        <w:rPr>
          <w:rFonts w:ascii="Times New Roman" w:eastAsia="Times New Roman" w:hAnsi="Times New Roman" w:cs="Times New Roman"/>
          <w:sz w:val="24"/>
          <w:szCs w:val="24"/>
        </w:rPr>
        <w:t>koolis</w:t>
      </w:r>
      <w:r w:rsidR="005355E5">
        <w:rPr>
          <w:rFonts w:ascii="Times New Roman" w:eastAsia="Times New Roman" w:hAnsi="Times New Roman" w:cs="Times New Roman"/>
          <w:sz w:val="24"/>
          <w:szCs w:val="24"/>
        </w:rPr>
        <w:t xml:space="preserve"> alates 20</w:t>
      </w:r>
      <w:r>
        <w:rPr>
          <w:rFonts w:ascii="Times New Roman" w:eastAsia="Times New Roman" w:hAnsi="Times New Roman" w:cs="Times New Roman"/>
          <w:sz w:val="24"/>
          <w:szCs w:val="24"/>
        </w:rPr>
        <w:t>xx</w:t>
      </w:r>
      <w:r w:rsidR="005355E5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xx</w:t>
      </w:r>
      <w:r w:rsidR="005355E5">
        <w:rPr>
          <w:rFonts w:ascii="Times New Roman" w:eastAsia="Times New Roman" w:hAnsi="Times New Roman" w:cs="Times New Roman"/>
          <w:sz w:val="24"/>
          <w:szCs w:val="24"/>
        </w:rPr>
        <w:t xml:space="preserve"> õa’st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9"/>
        <w:gridCol w:w="2350"/>
        <w:gridCol w:w="2019"/>
        <w:gridCol w:w="1784"/>
      </w:tblGrid>
      <w:tr w:rsidR="00365155">
        <w:trPr>
          <w:trHeight w:val="800"/>
        </w:trPr>
        <w:tc>
          <w:tcPr>
            <w:tcW w:w="2909" w:type="dxa"/>
          </w:tcPr>
          <w:p w:rsidR="00365155" w:rsidRDefault="005355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Lapse koolivalmiduse hinnang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153" w:type="dxa"/>
            <w:gridSpan w:val="3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Lasteasutuse 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lasteaed 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xxx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koolivalmiduskaardil on märgitud, et 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õpilane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oma arengult kooliküps - saab aru lihtsamatest seostest nagu hulk, põhjus, tagajärg; tajub esemeid, sündmusi ja nähtusid tervikuna. Oskab selgelt väljendada oma mõtteid, jut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ustab pildi või kuuldu järgi. Nimetab ja kirjutab joonistähti. Veerib kokku 1-2 silbilisi sõnu. Liidab ja lahutab 12 piires.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Probleemid on reeglitest kinnipidamisega; tegevustele keskendumine on lühiajaline; sageli ei tule toime emotsioonide sobival viisi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väljendamisega ja raskusi on erinevates olukordade sobivalt käitumisega. 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800"/>
        </w:trPr>
        <w:tc>
          <w:tcPr>
            <w:tcW w:w="2909" w:type="dxa"/>
          </w:tcPr>
          <w:p w:rsidR="00365155" w:rsidRDefault="003651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right="-85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50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kooliaste</w:t>
            </w:r>
          </w:p>
        </w:tc>
        <w:tc>
          <w:tcPr>
            <w:tcW w:w="2019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 kooliaste</w:t>
            </w:r>
          </w:p>
        </w:tc>
        <w:tc>
          <w:tcPr>
            <w:tcW w:w="1784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 kooliaste</w:t>
            </w:r>
          </w:p>
        </w:tc>
      </w:tr>
      <w:tr w:rsidR="00365155">
        <w:trPr>
          <w:trHeight w:val="800"/>
        </w:trPr>
        <w:tc>
          <w:tcPr>
            <w:tcW w:w="2909" w:type="dxa"/>
          </w:tcPr>
          <w:p w:rsidR="00365155" w:rsidRDefault="00535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 w:right="-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rakendatud õpiabi</w:t>
            </w:r>
          </w:p>
        </w:tc>
        <w:tc>
          <w:tcPr>
            <w:tcW w:w="2350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800"/>
        </w:trPr>
        <w:tc>
          <w:tcPr>
            <w:tcW w:w="2909" w:type="dxa"/>
          </w:tcPr>
          <w:p w:rsidR="00365155" w:rsidRDefault="00535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Õppetöö individualiseerimine klassi tasandil</w:t>
            </w:r>
          </w:p>
        </w:tc>
        <w:tc>
          <w:tcPr>
            <w:tcW w:w="2350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Individuaalne abistamine;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800"/>
        </w:trPr>
        <w:tc>
          <w:tcPr>
            <w:tcW w:w="2909" w:type="dxa"/>
          </w:tcPr>
          <w:p w:rsidR="00365155" w:rsidRDefault="00535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Tunniväline individuaalne abistamine aineõpetaja poolt</w:t>
            </w:r>
          </w:p>
        </w:tc>
        <w:tc>
          <w:tcPr>
            <w:tcW w:w="2350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Vajadusel tunniväline individuaalne abistamine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3651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65155">
          <w:footerReference w:type="default" r:id="rId7"/>
          <w:pgSz w:w="11906" w:h="16838"/>
          <w:pgMar w:top="1417" w:right="1417" w:bottom="1417" w:left="1417" w:header="0" w:footer="720" w:gutter="0"/>
          <w:pgNumType w:start="1"/>
          <w:cols w:space="720"/>
        </w:sectPr>
      </w:pPr>
    </w:p>
    <w:p w:rsidR="00365155" w:rsidRDefault="005355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Hinnang õppeedukusele kaardi täitmise ajal 20</w:t>
      </w:r>
      <w:r w:rsidR="00191560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191560">
        <w:rPr>
          <w:rFonts w:ascii="Times New Roman" w:eastAsia="Times New Roman" w:hAnsi="Times New Roman" w:cs="Times New Roman"/>
          <w:b/>
          <w:sz w:val="24"/>
          <w:szCs w:val="24"/>
        </w:rPr>
        <w:t xml:space="preserve">xx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(märkida õppeained võrreldes klassi üldist taset)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3"/>
        <w:gridCol w:w="1424"/>
        <w:gridCol w:w="1335"/>
        <w:gridCol w:w="1432"/>
        <w:gridCol w:w="1403"/>
        <w:gridCol w:w="1425"/>
      </w:tblGrid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Õppeaine</w:t>
            </w:r>
          </w:p>
        </w:tc>
        <w:tc>
          <w:tcPr>
            <w:tcW w:w="1424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Tunduvalt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madalam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Veidi allpool  </w:t>
            </w:r>
          </w:p>
        </w:tc>
        <w:tc>
          <w:tcPr>
            <w:tcW w:w="1432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Keskmisel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tasemel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Veidi kõrgemal  </w:t>
            </w:r>
          </w:p>
        </w:tc>
        <w:tc>
          <w:tcPr>
            <w:tcW w:w="1425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Tunduvalt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kõrgemal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Eesti keel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Võõrkeeled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Matemaatika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Loodusained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Ajalugu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Tööõpetus/Käsitöö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Kunst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Muusika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Kehaline kasvatus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5355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Hinnang õppeedukusele kaardi täitmise ajal 20</w:t>
      </w:r>
      <w:r w:rsidR="00191560">
        <w:rPr>
          <w:rFonts w:ascii="Times New Roman" w:eastAsia="Times New Roman" w:hAnsi="Times New Roman" w:cs="Times New Roman"/>
          <w:b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191560">
        <w:rPr>
          <w:rFonts w:ascii="Times New Roman" w:eastAsia="Times New Roman" w:hAnsi="Times New Roman" w:cs="Times New Roman"/>
          <w:b/>
          <w:sz w:val="24"/>
          <w:szCs w:val="24"/>
        </w:rPr>
        <w:t xml:space="preserve">xx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(märkida õppeained võrreldes klassi üldist taset)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3"/>
        <w:gridCol w:w="1424"/>
        <w:gridCol w:w="1335"/>
        <w:gridCol w:w="1432"/>
        <w:gridCol w:w="1403"/>
        <w:gridCol w:w="1425"/>
      </w:tblGrid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Õppeaine</w:t>
            </w:r>
          </w:p>
        </w:tc>
        <w:tc>
          <w:tcPr>
            <w:tcW w:w="1424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Tunduvalt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madalam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Veidi allpool  </w:t>
            </w:r>
          </w:p>
        </w:tc>
        <w:tc>
          <w:tcPr>
            <w:tcW w:w="1432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Keskmisel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tasemel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Veidi kõrgemal  </w:t>
            </w:r>
          </w:p>
        </w:tc>
        <w:tc>
          <w:tcPr>
            <w:tcW w:w="1425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Tunduvalt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kõrgemal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Eesti keel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Võõrkeeled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Matemaatika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Loodusained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Ajalugu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Tööõpetus/Käsitöö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Kunst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32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Muusika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043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Kehaline kasvatus</w:t>
            </w:r>
          </w:p>
        </w:tc>
        <w:tc>
          <w:tcPr>
            <w:tcW w:w="1424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</w:tcPr>
          <w:p w:rsidR="00365155" w:rsidRDefault="005355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03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</w:tcPr>
          <w:p w:rsidR="00365155" w:rsidRDefault="0036515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5355E5">
      <w:pPr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Klassi- ja aineõpetajate tähelepanekud / soovitused</w:t>
      </w:r>
    </w:p>
    <w:tbl>
      <w:tblPr>
        <w:tblStyle w:val="a2"/>
        <w:tblW w:w="93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5"/>
        <w:gridCol w:w="1274"/>
        <w:gridCol w:w="3369"/>
        <w:gridCol w:w="3367"/>
      </w:tblGrid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Õppeained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Lapse arengu tugevad küljed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Arendamist vajavad küljed, soovitused</w:t>
            </w: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Eesti keel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19156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xx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kevad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loeb keskpäraselt  ja mõistab kohati loetu sisu.. Lugemisel 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 pidada järge, hoiab silmad tekstil.</w:t>
            </w:r>
          </w:p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0xx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sügis- on omandanud üldised lugemise põhimõtted ning loetud teksti loeb keskpäraselt..Võõra  teksti lugemisel esineb eksimusi, mis on tingitud  tähelepanematusest. Mõistab kohati  loetud teksti sisu ning osaleb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arutlustes ( omal soovil ja nii palju kui on teksti mõistnud).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</w:t>
            </w:r>
          </w:p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Sügis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Püsivust vajavate harjutuste juures on lohakavõitu 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tahab tööst loobuda. Kiirustab liigselt ja seetõttu tekivad lohakusvead.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Lugemistehnika arendamine õpetaja juhendamisel(õige hääldus, ladusus,pausid, intonatsioon,temp ning ,oma lugemisvea parandamine .Lugemis tehniliselt raskete sõnade ja sõnaühendite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ugema õppimine. 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Harjutamist vajab häälikute eristamine (asukoht ja järjekord sõnas, hääliku pikkuse eristamine). Põhirõhk õigekirjal ning kirjutamisoskuse kujundamisel.(vajab individuaalset sekkumist) Ärakiri ning etteütlused on suurteks komistuskivideks.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Kirjatehnika on väga nõrk, hooletu ning esineb eksimusi tähekujude kirjutamisel.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Kõnes keskendume küsimuste moodustamine, küsimuste esitamine ja neile vastamine. Eri teemadel vestlused sõnavara rikastamiseks, arutamine paaris. Jutustamine kuulatu, nähtu,lä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bielatu, loetu, pildi,pildiseeria, etteantud teema põhjal;aheljutustamine</w:t>
            </w:r>
          </w:p>
        </w:tc>
      </w:tr>
      <w:tr w:rsidR="00365155">
        <w:trPr>
          <w:trHeight w:val="300"/>
        </w:trPr>
        <w:tc>
          <w:tcPr>
            <w:tcW w:w="1215" w:type="dxa"/>
            <w:vMerge w:val="restart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ind w:right="-171" w:hanging="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Võõrkeeled </w:t>
            </w:r>
          </w:p>
        </w:tc>
        <w:tc>
          <w:tcPr>
            <w:tcW w:w="137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365155" w:rsidRDefault="005355E5">
            <w:pPr>
              <w:spacing w:before="120"/>
              <w:ind w:firstLine="6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Inglise keel</w:t>
            </w:r>
          </w:p>
        </w:tc>
        <w:tc>
          <w:tcPr>
            <w:tcW w:w="3369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240"/>
        </w:trPr>
        <w:tc>
          <w:tcPr>
            <w:tcW w:w="1215" w:type="dxa"/>
            <w:vMerge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ind w:right="-29" w:hanging="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365155" w:rsidRDefault="005355E5">
            <w:pPr>
              <w:spacing w:before="120"/>
              <w:ind w:firstLine="6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Vene keel</w:t>
            </w:r>
          </w:p>
        </w:tc>
        <w:tc>
          <w:tcPr>
            <w:tcW w:w="3369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Matemaatika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Omab loogilist mõtlemist, oskab arvutada 12 piires.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sügis -  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Omab loogilist mõtlemist, arvutab 30 piires ning valdab korrutustabelit kuni viieni korrutamisel.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Teeb meelsasti töid, mis tunduvad jõukohased, temale uudsed. Eriti meelepärased on põnevad aktiivõppe mängud, mis tuginevad õppekavale.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Sügis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Raskusi val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mistavad ülesanded, kus on vaja lugemist ning teksti sisu mõistmist. Vajab abi olulise info välja selekteerimisel. 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Tekstülesannete lahendamine, mõõtühikud valmistavad raskusi. Vajab vahel  ülesannete lahendamisel õpetaja abi või lisaaega. Arvutamisel esin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eb palju lohakusvigu, mis tulenevad rohkem madalamast keskendumisvõimest. Väsib kiiresti ja loobub ülesande lahendamisel. </w:t>
            </w: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Ajalugu 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Tööõpetus/Käsitöö</w:t>
            </w:r>
          </w:p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Kunst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Alustab tööd innuga, saab ülesandest aru, kuid on püsimatu.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Töötab väga hea meelega ning on motiveeritud heast tulemusest. Oma tööd alustab alati suure huviga. Meisterdamised ning käelised tegevused on temale jõukohased ning tulemused väga head.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(Keerukamate tööde puhul vajab tugiisiku abi)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Arendada püsivust.</w:t>
            </w:r>
          </w:p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19156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Vajab abi tööde kompositsiooni ning tehnikate rakendamise juures, ka käsi väsib kiiresti ning pliiatsile surve on üsna tugev. Õpilasele sobib kõige enam individuaalne juhendamine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etappide kaupa.Vajab rohkem aega ülesannete täitmisel.</w:t>
            </w: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Muusika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saab tunnis olla ja töötab kaasa. Laulab kaasa. Muidu on kontrollimatu, segab tundi ja kiusab teisi õpilasi.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259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Kehaline kasvatus</w:t>
            </w:r>
          </w:p>
        </w:tc>
        <w:tc>
          <w:tcPr>
            <w:tcW w:w="3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Tahab tundides teha ainult seda, mis talle meeldib. Tihti ei allu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õpetaja korraldustele. Raske midagi õpetada, vahel sulgub endasse.</w:t>
            </w:r>
          </w:p>
        </w:tc>
        <w:tc>
          <w:tcPr>
            <w:tcW w:w="33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600"/>
        </w:trPr>
        <w:tc>
          <w:tcPr>
            <w:tcW w:w="1320" w:type="dxa"/>
            <w:gridSpan w:val="2"/>
            <w:vMerge w:val="restart"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ind w:right="-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Loodusai-ned </w:t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</w:tcBorders>
          </w:tcPr>
          <w:p w:rsidR="00365155" w:rsidRDefault="005355E5">
            <w:pPr>
              <w:spacing w:before="120"/>
              <w:ind w:left="9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Loodus-õpetus</w:t>
            </w:r>
          </w:p>
        </w:tc>
        <w:tc>
          <w:tcPr>
            <w:tcW w:w="3369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5355E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Töötab huviga, on aktiivne, kuid püsimatu ja domineeriv.</w:t>
            </w:r>
          </w:p>
        </w:tc>
        <w:tc>
          <w:tcPr>
            <w:tcW w:w="3367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680"/>
        </w:trPr>
        <w:tc>
          <w:tcPr>
            <w:tcW w:w="1320" w:type="dxa"/>
            <w:gridSpan w:val="2"/>
            <w:vMerge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5155" w:rsidRDefault="005355E5">
            <w:pPr>
              <w:spacing w:before="120"/>
              <w:ind w:firstLine="9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Bioloogia</w:t>
            </w:r>
          </w:p>
        </w:tc>
        <w:tc>
          <w:tcPr>
            <w:tcW w:w="3369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rPr>
          <w:trHeight w:val="900"/>
        </w:trPr>
        <w:tc>
          <w:tcPr>
            <w:tcW w:w="1320" w:type="dxa"/>
            <w:gridSpan w:val="2"/>
            <w:vMerge/>
            <w:tcBorders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</w:tcBorders>
          </w:tcPr>
          <w:p w:rsidR="00365155" w:rsidRDefault="005355E5">
            <w:pPr>
              <w:spacing w:before="120"/>
              <w:ind w:firstLine="9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Geograafia</w:t>
            </w:r>
          </w:p>
        </w:tc>
        <w:tc>
          <w:tcPr>
            <w:tcW w:w="3369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top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155" w:rsidRDefault="00365155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5355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65155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5355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ÕPILASE INDIVIDUAALSUSE MÄRKAMINE</w:t>
      </w: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1"/>
        <w:gridCol w:w="3021"/>
      </w:tblGrid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Valdkonnad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Hinnanguline kirjeldus, sh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tugevad küljed 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Toetamist ja arendamist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vajavad küljed</w:t>
            </w: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 Huvid ja motivatsioon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10D31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12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Õpilane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arvuti, loodusainete ja matemaatika huvidega poiss. Huvitava teemaga tegeleb pühendunult ning vahel suudab ka pikemalt keskenduda. Ka käelised tegevused on õpilasele meelepärased. (Meisterdamine). </w:t>
            </w:r>
            <w:r w:rsidR="00AA2994">
              <w:rPr>
                <w:rFonts w:ascii="Times New Roman" w:eastAsia="Times New Roman" w:hAnsi="Times New Roman" w:cs="Times New Roman"/>
                <w:sz w:val="24"/>
                <w:szCs w:val="24"/>
              </w:rPr>
              <w:t>Õpilane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väga hinge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>line ning teatud  väga suure südamega laps. Tunnustamise ja kiituste eest tunneb ta alati siirast rõõmu - küsides, kas e- kooli ka kiituse kirjutasid. Soov rõõmustada oma vanemaid.</w:t>
            </w: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10D31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12E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Õpilane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tunnetab kui õppetöös esineb raskusi siis püüab tegevust koheselt katkestada. Raskused ärritavad teda ja segavad tema keskendumisvõimet.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Tema käitumises võib märgata pidevat ärevust. Ärevus väljendub nii tähelepanu ja keskendumisprobleemides kui ka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ebaedust heitumises ning üldises rahutus käitumises. Ärevuse põhjus  ei ole kõrvalseisjatele alati mõistetav, sest esinevad ka sisemised  ärritajad, mida lapsel on raske selgitada. Ärevus on periooditi kõikuv  - esineb nii häid kui ka halvemaid päevi. Sage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 võib juba hommikul prognoosida,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milline on täna lapse meeleolu. Oma emotsionaalset seisundit ei suuda laps varjata ning vajab tihti rahustavaid tegevusi. Välised ärritajad võivad olla pisiasjad, mis tema eakaaslaseid  üldjuhul ei ärrita. 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10D31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Õpilase töövõime on kõikuv ja uue teema õpetamisel tuleb värsket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materjali tutvustada väiksemate osade kaupa. Ülesannete täitmiste puhul püüame selgitada esmalt töö sisulist külge. Õpilane eelistab ülesannete täitmisel tuttavat tüüpi harjutusi.(seega on väga hea viis integreerida ül). 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Keerukamate ülesannete täitmisel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vajab ta kõrvalist sekkumist, kes tema tegevust kinnitaks. Järjest enam püüdleme kõrvalise abi vähendamisele - õpetades rohkem usaldama ennast.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 Sotsiaalsed oskused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Suhtlemine eakaaslastega.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Suhtlemine täiskasvanutega.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Üldtunnustatud käitumis -normide austamine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C26AB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126C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Õpilasele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meeldiks suhelda eakaaslastega ning on märgata, et ta otsib omale sõpru. Paraku on märgata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Õpilase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tõrjumist nii klassis, kui ka klassi väliselt. Juba vaikselt osaleb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Õpilane</w:t>
            </w:r>
            <w:r w:rsidR="00535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 meeskonnatöös ning omandab oskusi, kuidas rühmatöödes toime tulla.</w:t>
            </w: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C26AB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Konfliktid tekivad 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amasti vahetundides. Enamasti tekivad arusaamatused meie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kooli teiste õpilastega. Klassiruumis esineb seda vähem. Oma klassis püüame palju kujundada positiivseid käitumismaneere. Väärtuskasvatusest on saanud meie õppetöö osa. Rõhudes positiivsetele käitumi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mustritele. (tunnustades ning kiites)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Agresiivseid mustreid käitumises esineb viimasel perioodil üha sagedamini,  Pigem on see seotud õppetegevusega .(Tegemata kodutöö, märkused, piiride kompamine, reeglite eiramine)Mitmel korral on esinenud ka  füüsilis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jõu kasutamist õpetajate vastu)</w:t>
            </w: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FC26AB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Harjutame sotsiaalset suhtlemist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kaaslastega.(Ühistegevused ning meeskonnatöö alused).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Pidev selgitus, et me ei räägi käte ega jalgadega.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Kord nädalas kasutame väärtuskasvatusele tuginevaid põhimõtteid tundides.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3.  Tunnetustegevus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Tähelepanu, taju, mä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 ja mõtlemise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iseärasused. Oluliste ja ebaoluliste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seoste eristamine. Tähelepanu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fokuseerimine. Õpitava meeldejätmine, meenutamine ja kasutamine.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Sügis 20</w:t>
            </w:r>
            <w:r w:rsidR="00063C20">
              <w:rPr>
                <w:rFonts w:ascii="Times New Roman" w:eastAsia="Times New Roman" w:hAnsi="Times New Roman" w:cs="Times New Roman"/>
                <w:sz w:val="24"/>
                <w:szCs w:val="24"/>
              </w:rPr>
              <w:t>xx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Õpilase tähelepanu kaob kergesti ning ei suuda keskenduda õppetööle 45 minutit järjest. </w:t>
            </w:r>
            <w:r w:rsidR="00063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Õpilase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vaimne võimekus on keskmisest madalam. Tunnis õpitu ei jää kergesti meelde. 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 Õpioskused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Õpikeskkonna ja tegevuse organiseerimine ja planeerimine.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Töövõime. Ülesannete täitmine (püüab aru saada, hakkab kohe täitma,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katkestab tegevuse, teeb ainult tuttavaid ülesandeid).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Õpitava vastuvõtmine, kodeerimine (ülesannete täitmine koos õpetajaga, mat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kimise teel, näidise alusel, suulise või kirjaliku juhendi järgi).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Kodutööde täitmine.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Suutlikkus kommenteerida oma tegevust, kirjeldada sooritatud ülesannet või sõnastada oma tegevuskava.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Töövõime võib olla hea ( vaid individuaalsel tegelemisel), kuid ka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siis võib  kiiresti väsida ja tüdineda, vahel ei taha lihtsalt töös osaleda. Küsib üle, hoolimata korduvatest selgitustest.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Õppetunnis käitumine takistab kaasõpilaste õppetööd ja õpetaja õpetamist.  Kaasõpilastega mittearvestamine, töörahu rikkumine, tunn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reeglite eiramine, keeldumine rutiinsest õppetoimingutet,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vahelehüüded ja oma kohalt loata lahkumine, ebaviisakas käitumine õpetajatega.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5. Enesetunnetus ja eneseteadvus.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Oma tegevuste ja õpitu teadvustamine.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Suhtumine raskustesse: (tunnetab raskusi 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ppetöös, püüab raskusi ületada, pöördub abi saamiseks õpetaja poole, oskab kasutada osutatud abi ja abivahendeid,  loodud ülesannete täitmisest raskuste ilmnemisel, täidab ülesannet huupi). Oma käitumise ja tulemuste põhjendamine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Enamasti võtab abi vastu,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soovib, et õpetaja temaga pidevalt tegeleks. Tõstab häält, kui ei saa piisavalt tähelepanu. Tunnis olles vajab pidevalt tugiisiku ning õpetaja tähelepanu ning tunnustamist.</w:t>
            </w:r>
          </w:p>
        </w:tc>
        <w:tc>
          <w:tcPr>
            <w:tcW w:w="3021" w:type="dxa"/>
          </w:tcPr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55">
        <w:tc>
          <w:tcPr>
            <w:tcW w:w="3020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 Emotsionaalne seisund ja käitumine.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Individuaalse ärevuse tase: ( ärev). Kõrge ärevusega kaasnevate probleemide ilmnemine: tunnetuslikud- tähelepanu keskendumisprobleemid; käitumuslikud - rahutus, motoorsed liigutused, ärevust tekitavate situatsioonide vältimine.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sageli rahutu, vahel lau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 äraarvamatu käitumisega, lahkub klassist nagu soovib, käib ringi ja räägib valju häälega. Võtab kaaslaste laudadelt asju ja paneb oma sahtlisse või viskab lihtsalt maha. Ilma põhjuseta võib lüüa kedagi klassikaaslastest.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Oma tegevust on valmis harva analüüsima. Õpilase käitumine on impulsiivne ja hetkeolukordade poolt kergelt mõjutatav. Ta reageerib väga kiiresti igale ärritusele, loobub kohe tööst,püüab vahel lahkuda. Esineb  olukordi, kus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õpilane on pidurdamatu, mis kulm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ineeruvad kaasõpilaste togimise või õpetaja löömisega.</w:t>
            </w:r>
          </w:p>
        </w:tc>
        <w:tc>
          <w:tcPr>
            <w:tcW w:w="3021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Märgata kõike positiivset, leida põhjust kiitmiseks. 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Leida motivatsioonivahendid( avalik kiitus ja tunnustus).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Selgitada lapsele endale, vanematele, klassikaaslastele lapse tugevaid külgi 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Pidev posi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tiivne tagasiside kiituskirjade, märkimine päevikusse või e - kooli.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Tunda huvi õpilase probleemide vastu, leida aega vabal ajal vestluseks. Suunata last huvitegevusele - kus tunneks eduelamusi</w:t>
            </w:r>
          </w:p>
          <w:p w:rsidR="00365155" w:rsidRDefault="005355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meeldib ujumine, robootika). Näidata välja hoolimist lapsest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märgata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tema tegevusi, tunda nende vastu huvi. </w:t>
            </w: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365155">
        <w:tc>
          <w:tcPr>
            <w:tcW w:w="9062" w:type="dxa"/>
          </w:tcPr>
          <w:p w:rsidR="00365155" w:rsidRDefault="005355E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PEDAGOOGILISED SOOVITUSED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5155" w:rsidRDefault="006811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Õpilasele</w:t>
            </w:r>
            <w:r w:rsidR="00535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oleks soovituslik alustada õppimist individuaalõppel, õppides üksikuid aineid koos klassiga (kunst, tööõpetus, kehaline kasvatus, muusika saades tuge abiõpetajalt). Õp</w:t>
            </w:r>
            <w:r w:rsidR="005355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ilane vajab eelkõige tõhustatud tuge. St täiendavat individuaalset juhendamist õpetaja poolt, tugispetsialistide teenuseid, individuaalselt õpiabitunde. Ainult nii saame tagada lapse maksimaalse arengu.</w:t>
            </w:r>
          </w:p>
          <w:p w:rsidR="00365155" w:rsidRDefault="0036515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5155" w:rsidRDefault="003651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155" w:rsidRDefault="003651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5155" w:rsidRDefault="0036515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65155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5E5" w:rsidRDefault="005355E5">
      <w:pPr>
        <w:spacing w:after="0" w:line="240" w:lineRule="auto"/>
      </w:pPr>
      <w:r>
        <w:separator/>
      </w:r>
    </w:p>
  </w:endnote>
  <w:endnote w:type="continuationSeparator" w:id="0">
    <w:p w:rsidR="005355E5" w:rsidRDefault="0053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155" w:rsidRDefault="0036515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</w:p>
  <w:p w:rsidR="00365155" w:rsidRDefault="0036515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5E5" w:rsidRDefault="005355E5">
      <w:pPr>
        <w:spacing w:after="0" w:line="240" w:lineRule="auto"/>
      </w:pPr>
      <w:r>
        <w:separator/>
      </w:r>
    </w:p>
  </w:footnote>
  <w:footnote w:type="continuationSeparator" w:id="0">
    <w:p w:rsidR="005355E5" w:rsidRDefault="0053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67925"/>
    <w:multiLevelType w:val="multilevel"/>
    <w:tmpl w:val="98462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55"/>
    <w:rsid w:val="00063C20"/>
    <w:rsid w:val="00126C14"/>
    <w:rsid w:val="00191560"/>
    <w:rsid w:val="001C7179"/>
    <w:rsid w:val="002E7922"/>
    <w:rsid w:val="00365155"/>
    <w:rsid w:val="00482945"/>
    <w:rsid w:val="00512EF9"/>
    <w:rsid w:val="005355E5"/>
    <w:rsid w:val="006811A4"/>
    <w:rsid w:val="00AA2994"/>
    <w:rsid w:val="00F10D31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3AB8"/>
  <w15:docId w15:val="{1E900D00-8358-4EFE-825B-C09511C5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Pealkiri2">
    <w:name w:val="heading 2"/>
    <w:basedOn w:val="Normaallaad"/>
    <w:next w:val="Normaallaa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Pealkiri3">
    <w:name w:val="heading 3"/>
    <w:basedOn w:val="Normaallaad"/>
    <w:next w:val="Normaallaa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1752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M</cp:lastModifiedBy>
  <cp:revision>14</cp:revision>
  <dcterms:created xsi:type="dcterms:W3CDTF">2019-10-03T22:16:00Z</dcterms:created>
  <dcterms:modified xsi:type="dcterms:W3CDTF">2019-10-03T22:36:00Z</dcterms:modified>
</cp:coreProperties>
</file>