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Групповой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Алгоритм</w:t>
      </w:r>
      <w:r>
        <w:t xml:space="preserve"> </w:t>
      </w:r>
      <w:r>
        <w:t xml:space="preserve">решения</w:t>
      </w:r>
      <w:r>
        <w:t xml:space="preserve"> </w:t>
      </w:r>
      <w:r>
        <w:t xml:space="preserve">задачи</w:t>
      </w:r>
      <w:r>
        <w:t xml:space="preserve"> </w:t>
      </w:r>
      <w:r>
        <w:t xml:space="preserve">Рост</w:t>
      </w:r>
      <w:r>
        <w:t xml:space="preserve"> </w:t>
      </w:r>
      <w:r>
        <w:t xml:space="preserve">дендритов</w:t>
      </w:r>
    </w:p>
    <w:p>
      <w:pPr>
        <w:pStyle w:val="Author"/>
      </w:pPr>
      <w:r>
        <w:t xml:space="preserve">Вакутайпа</w:t>
      </w:r>
      <w:r>
        <w:t xml:space="preserve"> </w:t>
      </w:r>
      <w:r>
        <w:t xml:space="preserve">Милдред,</w:t>
      </w:r>
      <w:r>
        <w:t xml:space="preserve"> </w:t>
      </w: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Естэлл,</w:t>
      </w:r>
      <w:r>
        <w:t xml:space="preserve"> </w:t>
      </w: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введение"/>
    <w:p>
      <w:pPr>
        <w:pStyle w:val="Heading1"/>
      </w:pPr>
      <w:r>
        <w:t xml:space="preserve">1. Введение</w:t>
      </w:r>
    </w:p>
    <w:bookmarkStart w:id="20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Дендрит - это характерная древовидная структура кристаллов, растущих по мере затвердевания расплавленного металла, форма, получаемая в результате более быстрого роста в энергетически выгодных кристаллографических направлениях.</w:t>
      </w:r>
    </w:p>
    <w:p>
      <w:pPr>
        <w:pStyle w:val="BodyText"/>
      </w:pPr>
      <w:r>
        <w:t xml:space="preserve">Процессы кристаллизации и роста дендритов играют ключевую роль в различных областях науки и техники. В металлургии и материаловедении структура затвердевших металлов и сплавов, образующаяся в процессе литья, сварки и аддитивного производства, определяет их механические свойства — прочность, пластичность и усталостную долговечность. Дендритная микроструктура, возникающая при неравновесном затвердевании, непосредственно влияет на распределение примесей, образование пор и трещин, а также на последующую термообработку материала.</w:t>
      </w:r>
    </w:p>
    <w:p>
      <w:pPr>
        <w:pStyle w:val="BodyText"/>
      </w:pPr>
      <w:r>
        <w:t xml:space="preserve">В природе дендритные структуры также широко распространены: от снежинок и морозных узоров на стекле до минеральных образований в геологических процессах. Понимание механизмов роста дендритов важно не только для технологических применений, но и для фундаментальной физики неравновесных процессов структурообразования. Несмотря на многолетние исследования, проблема управляемого управления дендритной микроструктурой остается актуальной.</w:t>
      </w:r>
    </w:p>
    <w:bookmarkEnd w:id="20"/>
    <w:bookmarkStart w:id="21" w:name="цель"/>
    <w:p>
      <w:pPr>
        <w:pStyle w:val="Heading2"/>
      </w:pPr>
      <w:r>
        <w:t xml:space="preserve">1.2 Цель</w:t>
      </w:r>
    </w:p>
    <w:p>
      <w:pPr>
        <w:pStyle w:val="FirstParagraph"/>
      </w:pPr>
      <w:r>
        <w:t xml:space="preserve">Целью данной работы является написание алгоритма реализации модели роста дендритов.</w:t>
      </w:r>
    </w:p>
    <w:bookmarkEnd w:id="21"/>
    <w:bookmarkStart w:id="22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Изучите алгоритм модели роста дендритов и опишите основные этапы работы алгоритма</w:t>
      </w:r>
    </w:p>
    <w:bookmarkEnd w:id="22"/>
    <w:bookmarkEnd w:id="23"/>
    <w:bookmarkStart w:id="54" w:name="алгоритм"/>
    <w:p>
      <w:pPr>
        <w:pStyle w:val="Heading1"/>
      </w:pPr>
      <w:r>
        <w:t xml:space="preserve">2. Алгоритм</w:t>
      </w:r>
    </w:p>
    <w:bookmarkStart w:id="27" w:name="шаг-1-настройка-параметров-модели"/>
    <w:p>
      <w:pPr>
        <w:pStyle w:val="Heading2"/>
      </w:pPr>
      <w:r>
        <w:t xml:space="preserve">2.1 Шаг 1: Настройка параметров модели</w:t>
      </w:r>
    </w:p>
    <w:p>
      <w:pPr>
        <w:pStyle w:val="FirstParagraph"/>
      </w:pPr>
      <w:r>
        <w:t xml:space="preserve">Первый этап включает в себя определение физических свойств материала и вычислительных параметров для моделирования. Корректность входных данных определяет надежность всего процесса моделирования.</w:t>
      </w:r>
    </w:p>
    <w:bookmarkStart w:id="24" w:name="физические-свойства-материала"/>
    <w:p>
      <w:pPr>
        <w:pStyle w:val="Heading3"/>
      </w:pPr>
      <w:r>
        <w:t xml:space="preserve">2.1.1 Физические свойства материала:</w:t>
      </w:r>
    </w:p>
    <w:p>
      <w:pPr>
        <w:numPr>
          <w:ilvl w:val="0"/>
          <w:numId w:val="1001"/>
        </w:numPr>
        <w:pStyle w:val="Compact"/>
      </w:pPr>
      <w:r>
        <w:t xml:space="preserve">Плотность</w:t>
      </w:r>
      <w:r>
        <w:t xml:space="preserve"> </w:t>
      </w:r>
      <m:oMath>
        <m:r>
          <m:t>ρ</m:t>
        </m:r>
      </m:oMath>
      <w:r>
        <w:t xml:space="preserve">: определяет массу на единицу объема материала.</w:t>
      </w:r>
    </w:p>
    <w:p>
      <w:pPr>
        <w:numPr>
          <w:ilvl w:val="0"/>
          <w:numId w:val="1001"/>
        </w:numPr>
        <w:pStyle w:val="Compact"/>
      </w:pPr>
      <w:r>
        <w:t xml:space="preserve">Удельная теплоемкость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: количество энергии, необходимо для нагрева единицы массы на один градус.</w:t>
      </w:r>
    </w:p>
    <w:p>
      <w:pPr>
        <w:numPr>
          <w:ilvl w:val="0"/>
          <w:numId w:val="1001"/>
        </w:numPr>
        <w:pStyle w:val="Compact"/>
      </w:pPr>
      <w:r>
        <w:t xml:space="preserve">Скрытая теплота плавления</w:t>
      </w:r>
      <w:r>
        <w:t xml:space="preserve"> </w:t>
      </w:r>
      <m:oMath>
        <m:r>
          <m:t>L</m:t>
        </m:r>
      </m:oMath>
      <w:r>
        <w:t xml:space="preserve">: энергия фазавого перехода</w:t>
      </w:r>
    </w:p>
    <w:p>
      <w:pPr>
        <w:numPr>
          <w:ilvl w:val="0"/>
          <w:numId w:val="1001"/>
        </w:numPr>
        <w:pStyle w:val="Compact"/>
      </w:pPr>
      <w:r>
        <w:t xml:space="preserve">Теплопроводность</w:t>
      </w:r>
      <w:r>
        <w:t xml:space="preserve"> </w:t>
      </w:r>
      <m:oMath>
        <m:r>
          <m:t>κ</m:t>
        </m:r>
      </m:oMath>
      <w:r>
        <w:t xml:space="preserve">: способность материала передавать тепловую энергию</w:t>
      </w:r>
    </w:p>
    <w:p>
      <w:pPr>
        <w:numPr>
          <w:ilvl w:val="0"/>
          <w:numId w:val="1001"/>
        </w:numPr>
        <w:pStyle w:val="Compact"/>
      </w:pPr>
      <w:r>
        <w:t xml:space="preserve">Коэффициент температуропроводности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e>
        </m:d>
      </m:oMath>
      <w:r>
        <w:t xml:space="preserve">: скорость выравнивания температурного градиента</w:t>
      </w:r>
    </w:p>
    <w:p>
      <w:pPr>
        <w:numPr>
          <w:ilvl w:val="0"/>
          <w:numId w:val="1001"/>
        </w:numPr>
        <w:pStyle w:val="Compact"/>
      </w:pPr>
      <w:r>
        <w:t xml:space="preserve">Температура плавления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: критическая точка фазового перехода</w:t>
      </w:r>
    </w:p>
    <w:p>
      <w:pPr>
        <w:numPr>
          <w:ilvl w:val="0"/>
          <w:numId w:val="1001"/>
        </w:numPr>
        <w:pStyle w:val="Compact"/>
      </w:pPr>
      <w:r>
        <w:t xml:space="preserve">Коэффициент поверхностного натяжения</w:t>
      </w:r>
      <w:r>
        <w:t xml:space="preserve"> </w:t>
      </w:r>
      <m:oMath>
        <m:r>
          <m:t>γ</m:t>
        </m:r>
      </m:oMath>
      <w:r>
        <w:t xml:space="preserve">: влияет на стабильность границы раздела фаз</w:t>
      </w:r>
    </w:p>
    <w:p>
      <w:pPr>
        <w:numPr>
          <w:ilvl w:val="0"/>
          <w:numId w:val="1001"/>
        </w:numPr>
        <w:pStyle w:val="Compact"/>
      </w:pPr>
      <w:r>
        <w:t xml:space="preserve">Кинетический коэффициент</w:t>
      </w:r>
      <w:r>
        <w:t xml:space="preserve"> </w:t>
      </w:r>
      <m:oMath>
        <m:r>
          <m:t>β</m:t>
        </m:r>
      </m:oMath>
      <w:r>
        <w:t xml:space="preserve">: характеризует скорость прикрепления атомов к поверхности кристалла[1,2]</w:t>
      </w:r>
    </w:p>
    <w:bookmarkEnd w:id="24"/>
    <w:bookmarkStart w:id="25" w:name="вычислительные-параметры"/>
    <w:p>
      <w:pPr>
        <w:pStyle w:val="Heading3"/>
      </w:pPr>
      <w:r>
        <w:t xml:space="preserve">2.1.2 Вычислительные параметры</w:t>
      </w:r>
    </w:p>
    <w:p>
      <w:pPr>
        <w:numPr>
          <w:ilvl w:val="0"/>
          <w:numId w:val="1002"/>
        </w:numPr>
        <w:pStyle w:val="Compact"/>
      </w:pPr>
      <w:r>
        <w:t xml:space="preserve">Размер сетки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: Количество узлов по каждому измерению</w:t>
      </w:r>
    </w:p>
    <w:p>
      <w:pPr>
        <w:numPr>
          <w:ilvl w:val="0"/>
          <w:numId w:val="1002"/>
        </w:numPr>
        <w:pStyle w:val="Compact"/>
      </w:pPr>
      <w:r>
        <w:t xml:space="preserve">Пространственный шаг</w:t>
      </w:r>
      <w:r>
        <w:t xml:space="preserve"> </w:t>
      </w:r>
      <m:oMath>
        <m:r>
          <m:t>h</m:t>
        </m:r>
      </m:oMath>
      <w:r>
        <w:t xml:space="preserve">: Расстояние между соседними узлами</w:t>
      </w:r>
    </w:p>
    <w:p>
      <w:pPr>
        <w:numPr>
          <w:ilvl w:val="0"/>
          <w:numId w:val="1002"/>
        </w:numPr>
        <w:pStyle w:val="Compact"/>
      </w:pPr>
      <w:r>
        <w:t xml:space="preserve">Временной шаг роста</w:t>
      </w:r>
      <w:r>
        <w:t xml:space="preserve"> </w:t>
      </w:r>
      <m:oMath>
        <m:r>
          <m:t>Δ</m:t>
        </m:r>
      </m:oMath>
      <w:r>
        <w:t xml:space="preserve">: Интервал одного шага роста</w:t>
      </w:r>
    </w:p>
    <w:p>
      <w:pPr>
        <w:numPr>
          <w:ilvl w:val="0"/>
          <w:numId w:val="1002"/>
        </w:numPr>
        <w:pStyle w:val="Compact"/>
      </w:pPr>
      <w:r>
        <w:t xml:space="preserve">Число подшагов</w:t>
      </w:r>
      <w:r>
        <w:t xml:space="preserve"> </w:t>
      </w:r>
      <m:oMath>
        <m:r>
          <m:t>m</m:t>
        </m:r>
      </m:oMath>
      <w:r>
        <w:t xml:space="preserve">: Количество подшагов тепловой диффузии</w:t>
      </w:r>
    </w:p>
    <w:p>
      <w:pPr>
        <w:numPr>
          <w:ilvl w:val="0"/>
          <w:numId w:val="1002"/>
        </w:numPr>
        <w:pStyle w:val="Compact"/>
      </w:pPr>
      <w:r>
        <w:t xml:space="preserve">Капиллярный параметр</w:t>
      </w:r>
      <w:r>
        <w:t xml:space="preserve"> </w:t>
      </w:r>
      <m:oMath>
        <m:r>
          <m:t>λ</m:t>
        </m:r>
      </m:oMath>
      <w:r>
        <w:t xml:space="preserve">: Интенсивность стабилизации границы</w:t>
      </w:r>
    </w:p>
    <w:p>
      <w:pPr>
        <w:numPr>
          <w:ilvl w:val="0"/>
          <w:numId w:val="1002"/>
        </w:numPr>
        <w:pStyle w:val="Compact"/>
      </w:pPr>
      <w:r>
        <w:t xml:space="preserve">Амплитуда шума</w:t>
      </w:r>
      <w:r>
        <w:t xml:space="preserve"> </w:t>
      </w:r>
      <m:oMath>
        <m:r>
          <m:t>δ</m:t>
        </m:r>
      </m:oMath>
      <w:r>
        <w:t xml:space="preserve">: Уровень тепловых флуктуаций[3]</w:t>
      </w:r>
    </w:p>
    <w:bookmarkEnd w:id="25"/>
    <w:bookmarkStart w:id="26" w:name="начальные-и-граничные-условия"/>
    <w:p>
      <w:pPr>
        <w:pStyle w:val="Heading3"/>
      </w:pPr>
      <w:r>
        <w:t xml:space="preserve">2.1.3 Начальные и граничные условия:</w:t>
      </w:r>
    </w:p>
    <w:p>
      <w:pPr>
        <w:numPr>
          <w:ilvl w:val="0"/>
          <w:numId w:val="1003"/>
        </w:numPr>
        <w:pStyle w:val="Compact"/>
      </w:pPr>
      <w:r>
        <w:t xml:space="preserve">Начальная температура расплава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: определяет степень переохлаждения системы</w:t>
      </w:r>
    </w:p>
    <w:p>
      <w:pPr>
        <w:numPr>
          <w:ilvl w:val="0"/>
          <w:numId w:val="1003"/>
        </w:numPr>
        <w:pStyle w:val="Compact"/>
      </w:pPr>
      <w:r>
        <w:t xml:space="preserve">Безразмерное переохлаждение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∞</m:t>
                </m:r>
              </m:sub>
            </m:sSub>
          </m:e>
        </m:d>
        <m:r>
          <m:rPr>
            <m:sty m:val="p"/>
          </m:rPr>
          <m:t>/</m:t>
        </m:r>
        <m:r>
          <m:t>L</m:t>
        </m:r>
      </m:oMath>
      <w:r>
        <w:t xml:space="preserve">: ключевой параметр термодинамической готовности системы</w:t>
      </w:r>
    </w:p>
    <w:p>
      <w:pPr>
        <w:numPr>
          <w:ilvl w:val="0"/>
          <w:numId w:val="1003"/>
        </w:numPr>
        <w:pStyle w:val="Compact"/>
      </w:pPr>
      <w:r>
        <w:t xml:space="preserve">Граничные условия: постоянная температура на всех границах расчетной области, равная начальной температуре расплава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[4]</w:t>
      </w:r>
    </w:p>
    <w:bookmarkEnd w:id="26"/>
    <w:bookmarkEnd w:id="27"/>
    <w:bookmarkStart w:id="30" w:name="шаг-2-инициализация-структур-данных"/>
    <w:p>
      <w:pPr>
        <w:pStyle w:val="Heading2"/>
      </w:pPr>
      <w:r>
        <w:t xml:space="preserve">2.2 Шаг 2: Инициализация структур данных</w:t>
      </w:r>
    </w:p>
    <w:p>
      <w:pPr>
        <w:pStyle w:val="FirstParagraph"/>
      </w:pPr>
      <w:r>
        <w:t xml:space="preserve">На втором этапе создаются структуры данных для хранения состояния системы и задается начальная конфигурация.</w:t>
      </w:r>
    </w:p>
    <w:bookmarkStart w:id="28" w:name="структуры-данных"/>
    <w:p>
      <w:pPr>
        <w:pStyle w:val="Heading3"/>
      </w:pPr>
      <w:r>
        <w:t xml:space="preserve">2.2.1 Структуры данных:</w:t>
      </w:r>
    </w:p>
    <w:p>
      <w:pPr>
        <w:pStyle w:val="FirstParagraph"/>
      </w:pPr>
      <w:r>
        <w:t xml:space="preserve">Создаются два двумерных массива размером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Массив фазового состояния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: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твердая фаза</w:t>
      </w:r>
    </w:p>
    <w:p>
      <w:pPr>
        <w:numPr>
          <w:ilvl w:val="0"/>
          <w:numId w:val="1005"/>
        </w:numPr>
        <w:pStyle w:val="Compact"/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жидкая фаза</w:t>
      </w:r>
    </w:p>
    <w:p>
      <w:pPr>
        <w:numPr>
          <w:ilvl w:val="0"/>
          <w:numId w:val="1006"/>
        </w:numPr>
        <w:pStyle w:val="Compact"/>
      </w:pPr>
      <w:r>
        <w:t xml:space="preserve">Массив безразмерной температуры</w:t>
      </w:r>
      <w:r>
        <w:t xml:space="preserve"> </w:t>
      </w:r>
      <m:oMath>
        <m:r>
          <m:t>T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</m:oMath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Хранит текущее значение безразмерной температуры в каждом узле</w:t>
      </w:r>
    </w:p>
    <w:bookmarkEnd w:id="28"/>
    <w:bookmarkStart w:id="29" w:name="инициализация"/>
    <w:p>
      <w:pPr>
        <w:pStyle w:val="Heading3"/>
      </w:pPr>
      <w:r>
        <w:t xml:space="preserve">2.2.2 Инициализация:</w:t>
      </w:r>
    </w:p>
    <w:p>
      <w:pPr>
        <w:numPr>
          <w:ilvl w:val="0"/>
          <w:numId w:val="1008"/>
        </w:numPr>
        <w:pStyle w:val="Compact"/>
      </w:pPr>
      <w:r>
        <w:t xml:space="preserve">Заполнение массивов начальными значениями:</w:t>
      </w:r>
    </w:p>
    <w:p>
      <w:pPr>
        <w:numPr>
          <w:ilvl w:val="0"/>
          <w:numId w:val="1009"/>
        </w:numPr>
        <w:pStyle w:val="Compact"/>
      </w:pPr>
      <w:r>
        <w:t xml:space="preserve">Все узлы: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(жидкое состояние)</w:t>
      </w:r>
    </w:p>
    <w:p>
      <w:pPr>
        <w:numPr>
          <w:ilvl w:val="0"/>
          <w:numId w:val="1009"/>
        </w:numPr>
        <w:pStyle w:val="Compact"/>
      </w:pPr>
      <w:r>
        <w:t xml:space="preserve">Все узлы:</w:t>
      </w:r>
      <w:r>
        <w:t xml:space="preserve"> </w:t>
      </w:r>
      <m:oMath>
        <m:r>
          <m:t>T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(безразмерная температура расплава)</w:t>
      </w:r>
    </w:p>
    <w:p>
      <w:pPr>
        <w:numPr>
          <w:ilvl w:val="0"/>
          <w:numId w:val="1010"/>
        </w:numPr>
        <w:pStyle w:val="Compact"/>
      </w:pPr>
      <w:r>
        <w:t xml:space="preserve">Создание затравки кристаллизации:</w:t>
      </w:r>
    </w:p>
    <w:p>
      <w:pPr>
        <w:numPr>
          <w:ilvl w:val="0"/>
          <w:numId w:val="1011"/>
        </w:numPr>
        <w:pStyle w:val="Compact"/>
      </w:pPr>
      <w:r>
        <w:t xml:space="preserve">В центральной области сетки задается твердая затравка (например, квадрат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узлов)</w:t>
      </w:r>
    </w:p>
    <w:p>
      <w:pPr>
        <w:numPr>
          <w:ilvl w:val="0"/>
          <w:numId w:val="1011"/>
        </w:numPr>
        <w:pStyle w:val="Compact"/>
      </w:pPr>
      <w:r>
        <w:t xml:space="preserve">Для узлов затравки: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(твердое состояние)</w:t>
      </w:r>
    </w:p>
    <w:p>
      <w:pPr>
        <w:numPr>
          <w:ilvl w:val="0"/>
          <w:numId w:val="1011"/>
        </w:numPr>
        <w:pStyle w:val="Compact"/>
      </w:pPr>
      <w:r>
        <w:t xml:space="preserve">Для узлов затравки:</w:t>
      </w:r>
      <w:r>
        <w:t xml:space="preserve"> </w:t>
      </w:r>
      <m:oMath>
        <m:r>
          <m:t>T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(безразмерная температура плавления)</w:t>
      </w:r>
    </w:p>
    <w:bookmarkEnd w:id="29"/>
    <w:bookmarkEnd w:id="30"/>
    <w:bookmarkStart w:id="34" w:name="шаг-3-расчет-температурного-поля"/>
    <w:p>
      <w:pPr>
        <w:pStyle w:val="Heading2"/>
      </w:pPr>
      <w:r>
        <w:t xml:space="preserve">2.3 Шаг 3: Расчет температурного поля</w:t>
      </w:r>
    </w:p>
    <w:p>
      <w:pPr>
        <w:pStyle w:val="FirstParagraph"/>
      </w:pPr>
      <w:r>
        <w:t xml:space="preserve">Третий шаг реализует численное решение уравнения теплопроводности для расчета эволюции температурного поля.[3]</w:t>
      </w:r>
    </w:p>
    <w:bookmarkStart w:id="31" w:name="дискретизация-уравнения-теплопроводности"/>
    <w:p>
      <w:pPr>
        <w:pStyle w:val="Heading3"/>
      </w:pPr>
      <w:r>
        <w:t xml:space="preserve">2.3.1 Дискретизация уравнения теплопроводности:</w:t>
      </w:r>
    </w:p>
    <w:p>
      <w:pPr>
        <w:pStyle w:val="FirstParagraph"/>
      </w:pPr>
      <w:r>
        <w:t xml:space="preserve">Используется явная конечно-разностная схема. Лапласиан в узле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аппроксимируется с учетом ближайших и диагональных соседей: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T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⟨</m:t>
              </m:r>
              <m:sSub>
                <m:e>
                  <m:r>
                    <m:t>T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w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w</m:t>
                  </m:r>
                </m:e>
              </m:d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где среднее значение температуры соседей: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b>
            <m:e>
              <m:r>
                <m:t>T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e>
              </m:d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w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num>
            <m:den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w</m:t>
              </m:r>
            </m:den>
          </m:f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определяет вклад диагональных соседей.[4]</w:t>
      </w:r>
    </w:p>
    <w:bookmarkEnd w:id="31"/>
    <w:bookmarkStart w:id="32" w:name="алгоритм-расчета-тепловой-диффузии"/>
    <w:p>
      <w:pPr>
        <w:pStyle w:val="Heading3"/>
      </w:pPr>
      <w:r>
        <w:t xml:space="preserve">2.3.2 Алгоритм расчета тепловой диффузии:</w:t>
      </w:r>
    </w:p>
    <w:p>
      <w:pPr>
        <w:pStyle w:val="FirstParagraph"/>
      </w:pPr>
      <w:r>
        <w:t xml:space="preserve">Для каждого шага роста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выполняется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 тепловой диффузии:</w:t>
      </w:r>
    </w:p>
    <w:p>
      <w:pPr>
        <w:numPr>
          <w:ilvl w:val="0"/>
          <w:numId w:val="1012"/>
        </w:numPr>
      </w:pPr>
      <w:r>
        <w:t xml:space="preserve">Для каждого узла сетки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вычислить лапласиан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по приведенной формуле</w:t>
      </w:r>
    </w:p>
    <w:p>
      <w:pPr>
        <w:numPr>
          <w:ilvl w:val="0"/>
          <w:numId w:val="1012"/>
        </w:numPr>
      </w:pPr>
      <w:r>
        <w:t xml:space="preserve">Обновить температуру: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n</m:t>
            </m:r>
            <m:r>
              <m:t>e</m:t>
            </m:r>
            <m:r>
              <m:t>w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+</m:t>
        </m:r>
        <m:r>
          <m:t>χ</m:t>
        </m:r>
        <m:f>
          <m:fPr>
            <m:type m:val="bar"/>
          </m:fPr>
          <m:num>
            <m:r>
              <m:t>Δ</m:t>
            </m:r>
            <m:r>
              <m:t>t</m:t>
            </m:r>
          </m:num>
          <m:den>
            <m:r>
              <m:t>m</m:t>
            </m:r>
          </m:den>
        </m:f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p>
      <w:pPr>
        <w:numPr>
          <w:ilvl w:val="0"/>
          <w:numId w:val="1012"/>
        </w:numPr>
      </w:pPr>
      <w:r>
        <w:t xml:space="preserve">Применить граничные условия постоянной температуры:</w:t>
      </w:r>
      <w:r>
        <w:t xml:space="preserve"> </w:t>
      </w:r>
      <m:oMath>
        <m:sSub>
          <m:e>
            <m:r>
              <m:t>T</m:t>
            </m:r>
          </m:e>
          <m:sub>
            <m:r>
              <m:t>г</m:t>
            </m:r>
            <m:r>
              <m:t>р</m:t>
            </m:r>
            <m:r>
              <m:t>а</m:t>
            </m:r>
            <m:r>
              <m:t>н</m:t>
            </m:r>
            <m:r>
              <m:t>и</m:t>
            </m:r>
            <m:r>
              <m:t>ц</m:t>
            </m:r>
            <m:r>
              <m:t>а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32"/>
    <w:bookmarkStart w:id="33" w:name="условие-устойчивости"/>
    <w:p>
      <w:pPr>
        <w:pStyle w:val="Heading3"/>
      </w:pPr>
      <w:r>
        <w:t xml:space="preserve">2.3.3 Условие устойчивости: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χ</m:t>
              </m:r>
              <m:r>
                <m:t>Δ</m:t>
              </m:r>
              <m:r>
                <m:t>t</m:t>
              </m:r>
            </m:num>
            <m:den>
              <m:r>
                <m:t>m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33"/>
    <w:bookmarkEnd w:id="34"/>
    <w:bookmarkStart w:id="39" w:name="шаг-4-моделирование-роста-дендритов"/>
    <w:p>
      <w:pPr>
        <w:pStyle w:val="Heading2"/>
      </w:pPr>
      <w:r>
        <w:t xml:space="preserve">2.4 Шаг 4: Моделирование роста дендритов</w:t>
      </w:r>
    </w:p>
    <w:p>
      <w:pPr>
        <w:pStyle w:val="FirstParagraph"/>
      </w:pPr>
      <w:r>
        <w:t xml:space="preserve">На четвертом этапе после завершения всех подшагов тепловой диффузии выполняется проверка условий затвердевания и обновление фазового состояния.</w:t>
      </w:r>
    </w:p>
    <w:bookmarkStart w:id="35" w:name="порядок-обновления"/>
    <w:p>
      <w:pPr>
        <w:pStyle w:val="Heading3"/>
      </w:pPr>
      <w:r>
        <w:t xml:space="preserve">2.4.1 Порядок обновления:</w:t>
      </w:r>
    </w:p>
    <w:p>
      <w:pPr>
        <w:pStyle w:val="FirstParagraph"/>
      </w:pPr>
      <w:r>
        <w:t xml:space="preserve">Важной особенностью алгоритма является последовательное обновление:</w:t>
      </w:r>
    </w:p>
    <w:p>
      <w:pPr>
        <w:numPr>
          <w:ilvl w:val="0"/>
          <w:numId w:val="1013"/>
        </w:numPr>
      </w:pPr>
      <w:r>
        <w:t xml:space="preserve">Сначала полностью рассчитывается температурное поле на текущем шаге (все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подшагов)</w:t>
      </w:r>
    </w:p>
    <w:p>
      <w:pPr>
        <w:numPr>
          <w:ilvl w:val="0"/>
          <w:numId w:val="1013"/>
        </w:numPr>
      </w:pPr>
      <w:r>
        <w:t xml:space="preserve">Затем, на основе полученного температурного поля, проверяются условия затвердевания</w:t>
      </w:r>
    </w:p>
    <w:bookmarkEnd w:id="35"/>
    <w:bookmarkStart w:id="36" w:name="вычисление-кривизны-границы"/>
    <w:p>
      <w:pPr>
        <w:pStyle w:val="Heading3"/>
      </w:pPr>
      <w:r>
        <w:t xml:space="preserve">2.4.2 Вычисление кривизны границы:</w:t>
      </w:r>
    </w:p>
    <w:p>
      <w:pPr>
        <w:pStyle w:val="FirstParagraph"/>
      </w:pPr>
      <w:r>
        <w:t xml:space="preserve">Для жидкого узла, имеющего хотя бы один твердый сосед, вычисляется дискретизированная кривизна:[3]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nearest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nor/>
                  <m:sty m:val="p"/>
                </m:rPr>
                <m:t>diagonal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t>n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если соседний узел твердый, 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в противном случае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— весовой коэффициент для диагональных соседей</w:t>
      </w:r>
    </w:p>
    <w:p>
      <w:pPr>
        <w:numPr>
          <w:ilvl w:val="0"/>
          <w:numId w:val="1014"/>
        </w:numPr>
        <w:pStyle w:val="Compact"/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для выпуклых участков (вершин),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для вогнутых</w:t>
      </w:r>
    </w:p>
    <w:bookmarkEnd w:id="36"/>
    <w:bookmarkStart w:id="37" w:name="критерий-затвердевания"/>
    <w:p>
      <w:pPr>
        <w:pStyle w:val="Heading3"/>
      </w:pPr>
      <w:r>
        <w:t xml:space="preserve">2.4.3 Критерий затвердевания:</w:t>
      </w:r>
    </w:p>
    <w:p>
      <w:pPr>
        <w:pStyle w:val="FirstParagraph"/>
      </w:pPr>
      <w:r>
        <w:t xml:space="preserve">Жидкий узел переходит в твердое состояние, если выполняется условие: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δ</m:t>
          </m:r>
        </m:oMath>
      </m:oMathPara>
    </w:p>
    <w:p>
      <w:pPr>
        <w:pStyle w:val="FirstParagraph"/>
      </w:pPr>
      <w:r>
        <w:t xml:space="preserve">где:</w:t>
      </w:r>
    </w:p>
    <w:p>
      <w:pPr>
        <w:numPr>
          <w:ilvl w:val="0"/>
          <w:numId w:val="1015"/>
        </w:numPr>
      </w:pP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— безразмерная температура плавления</w:t>
      </w:r>
    </w:p>
    <w:p>
      <w:pPr>
        <w:numPr>
          <w:ilvl w:val="0"/>
          <w:numId w:val="1015"/>
        </w:numPr>
      </w:pPr>
      <m:oMath>
        <m:r>
          <m:t>λ</m:t>
        </m:r>
      </m:oMath>
      <w:r>
        <w:t xml:space="preserve"> </w:t>
      </w:r>
      <w:r>
        <w:t xml:space="preserve">— капиллярный параметр, объединяющий эффекты Гиббса–Томсона и кинетического переохлаждения[2]</w:t>
      </w:r>
    </w:p>
    <w:p>
      <w:pPr>
        <w:numPr>
          <w:ilvl w:val="0"/>
          <w:numId w:val="1015"/>
        </w:numPr>
      </w:pP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дискретизированная кривизна</w:t>
      </w:r>
    </w:p>
    <w:p>
      <w:pPr>
        <w:numPr>
          <w:ilvl w:val="0"/>
          <w:numId w:val="1015"/>
        </w:numPr>
      </w:pP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— случайное число из равномерного распределения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numPr>
          <w:ilvl w:val="0"/>
          <w:numId w:val="1015"/>
        </w:numPr>
      </w:pPr>
      <m:oMath>
        <m:r>
          <m:t>δ</m:t>
        </m:r>
      </m:oMath>
      <w:r>
        <w:t xml:space="preserve"> </w:t>
      </w:r>
      <w:r>
        <w:t xml:space="preserve">— амплитуда теплового шума[3]</w:t>
      </w:r>
    </w:p>
    <w:bookmarkEnd w:id="37"/>
    <w:bookmarkStart w:id="38" w:name="алгоритм-проверки-затвердевания"/>
    <w:p>
      <w:pPr>
        <w:pStyle w:val="Heading3"/>
      </w:pPr>
      <w:r>
        <w:t xml:space="preserve">2.4.4 Алгоритм проверки затвердевания:</w:t>
      </w:r>
    </w:p>
    <w:p>
      <w:pPr>
        <w:numPr>
          <w:ilvl w:val="0"/>
          <w:numId w:val="1016"/>
        </w:numPr>
      </w:pPr>
      <w:r>
        <w:t xml:space="preserve">Полный обход всех узлов сетки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</w:p>
    <w:p>
      <w:pPr>
        <w:numPr>
          <w:ilvl w:val="0"/>
          <w:numId w:val="1016"/>
        </w:numPr>
      </w:pPr>
      <w:r>
        <w:t xml:space="preserve">Для каждого узла:</w:t>
      </w:r>
    </w:p>
    <w:p>
      <w:pPr>
        <w:numPr>
          <w:ilvl w:val="0"/>
          <w:numId w:val="1017"/>
        </w:numPr>
        <w:pStyle w:val="Compact"/>
      </w:pPr>
      <w:r>
        <w:t xml:space="preserve">Если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(твердый), пропустить</w:t>
      </w:r>
    </w:p>
    <w:p>
      <w:pPr>
        <w:numPr>
          <w:ilvl w:val="0"/>
          <w:numId w:val="1017"/>
        </w:numPr>
        <w:pStyle w:val="Compact"/>
      </w:pPr>
      <w:r>
        <w:t xml:space="preserve">Если</w:t>
      </w:r>
      <w:r>
        <w:t xml:space="preserve"> </w:t>
      </w: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(жидкий), проверить наличие твердых соседей</w:t>
      </w:r>
    </w:p>
    <w:p>
      <w:pPr>
        <w:numPr>
          <w:ilvl w:val="0"/>
          <w:numId w:val="1017"/>
        </w:numPr>
        <w:pStyle w:val="Compact"/>
      </w:pPr>
      <w:r>
        <w:t xml:space="preserve">Если твердые соседи отсутствуют, пропустить</w:t>
      </w:r>
    </w:p>
    <w:p>
      <w:pPr>
        <w:numPr>
          <w:ilvl w:val="0"/>
          <w:numId w:val="1017"/>
        </w:numPr>
        <w:pStyle w:val="Compact"/>
      </w:pPr>
      <w:r>
        <w:t xml:space="preserve">Если твердые соседи есть:</w:t>
      </w:r>
    </w:p>
    <w:p>
      <w:pPr>
        <w:numPr>
          <w:ilvl w:val="1"/>
          <w:numId w:val="1018"/>
        </w:numPr>
        <w:pStyle w:val="Compact"/>
      </w:pPr>
      <w:r>
        <w:t xml:space="preserve">Вычислить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на основе соседних узлов</w:t>
      </w:r>
    </w:p>
    <w:p>
      <w:pPr>
        <w:numPr>
          <w:ilvl w:val="1"/>
          <w:numId w:val="1018"/>
        </w:numPr>
        <w:pStyle w:val="Compact"/>
      </w:pPr>
      <w:r>
        <w:t xml:space="preserve">Сгенерировать случайное число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</w:p>
    <w:p>
      <w:pPr>
        <w:numPr>
          <w:ilvl w:val="1"/>
          <w:numId w:val="1018"/>
        </w:numPr>
        <w:pStyle w:val="Compact"/>
      </w:pPr>
      <w:r>
        <w:t xml:space="preserve">Проверить критерий затвердевания</w:t>
      </w:r>
    </w:p>
    <w:p>
      <w:pPr>
        <w:numPr>
          <w:ilvl w:val="1"/>
          <w:numId w:val="1018"/>
        </w:numPr>
        <w:pStyle w:val="Compact"/>
      </w:pPr>
      <w:r>
        <w:t xml:space="preserve">Если условие выполнено:</w:t>
      </w:r>
    </w:p>
    <w:p>
      <w:pPr>
        <w:numPr>
          <w:ilvl w:val="2"/>
          <w:numId w:val="1019"/>
        </w:numPr>
        <w:pStyle w:val="Compact"/>
      </w:pPr>
      <m:oMath>
        <m:r>
          <m:t>p</m:t>
        </m:r>
        <m:r>
          <m:t>h</m:t>
        </m:r>
        <m:r>
          <m:t>a</m:t>
        </m:r>
        <m:r>
          <m:t>s</m:t>
        </m:r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(переход в твердое состояние)</w:t>
      </w:r>
    </w:p>
    <w:p>
      <w:pPr>
        <w:numPr>
          <w:ilvl w:val="2"/>
          <w:numId w:val="1019"/>
        </w:numPr>
        <w:pStyle w:val="Compact"/>
      </w:pPr>
      <m:oMath>
        <m:r>
          <m:t>T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=</m:t>
        </m:r>
        <m:r>
          <m:t>T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j</m:t>
            </m:r>
          </m:e>
        </m:d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(выделение скрытой теплоты)[3]</w:t>
      </w:r>
    </w:p>
    <w:bookmarkEnd w:id="38"/>
    <w:bookmarkEnd w:id="39"/>
    <w:bookmarkStart w:id="42" w:name="X0c600b067864ae24dd96a4521a0bb79cb6d24fa"/>
    <w:p>
      <w:pPr>
        <w:pStyle w:val="Heading2"/>
      </w:pPr>
      <w:r>
        <w:t xml:space="preserve">2.5 Шаг 5: Организация основного цикла вычислений</w:t>
      </w:r>
    </w:p>
    <w:p>
      <w:pPr>
        <w:pStyle w:val="FirstParagraph"/>
      </w:pPr>
      <w:r>
        <w:t xml:space="preserve">Пятый этап описывает структуру основного вычислительного цикла.</w:t>
      </w:r>
    </w:p>
    <w:bookmarkStart w:id="40" w:name="блок-схема-алгоритма"/>
    <w:p>
      <w:pPr>
        <w:pStyle w:val="Heading3"/>
      </w:pPr>
      <w:r>
        <w:t xml:space="preserve">2.5.1 Блок-схема алгоритма:</w:t>
      </w:r>
    </w:p>
    <w:p>
      <w:pPr>
        <w:pStyle w:val="FirstParagraph"/>
      </w:pPr>
      <w:r>
        <w:t xml:space="preserve">Алгоритм моделирования роста дендритов состоит из следующих основных этапов:</w:t>
      </w:r>
    </w:p>
    <w:p>
      <w:pPr>
        <w:numPr>
          <w:ilvl w:val="0"/>
          <w:numId w:val="1020"/>
        </w:numPr>
      </w:pPr>
      <w:r>
        <w:t xml:space="preserve">Начало: Запуск программы</w:t>
      </w:r>
    </w:p>
    <w:p>
      <w:pPr>
        <w:numPr>
          <w:ilvl w:val="0"/>
          <w:numId w:val="1020"/>
        </w:numPr>
      </w:pPr>
      <w:r>
        <w:t xml:space="preserve">Шаг 1: Настройка параметров модели</w:t>
      </w:r>
    </w:p>
    <w:p>
      <w:pPr>
        <w:numPr>
          <w:ilvl w:val="0"/>
          <w:numId w:val="1021"/>
        </w:numPr>
        <w:pStyle w:val="Compact"/>
      </w:pPr>
      <w:r>
        <w:t xml:space="preserve">Определение физических свойств материала (ρ, c_p, κ, L, T_m, γ, β)</w:t>
      </w:r>
    </w:p>
    <w:p>
      <w:pPr>
        <w:numPr>
          <w:ilvl w:val="0"/>
          <w:numId w:val="1021"/>
        </w:numPr>
        <w:pStyle w:val="Compact"/>
      </w:pPr>
      <w:r>
        <w:t xml:space="preserve">Определение вычислительных параметров (N, h, Δt, m, λ, δ)</w:t>
      </w:r>
    </w:p>
    <w:p>
      <w:pPr>
        <w:numPr>
          <w:ilvl w:val="0"/>
          <w:numId w:val="1021"/>
        </w:numPr>
        <w:pStyle w:val="Compact"/>
      </w:pPr>
      <w:r>
        <w:t xml:space="preserve">Определение начальных и граничных условий (T_∞, T_граница = T_∞)</w:t>
      </w:r>
    </w:p>
    <w:p>
      <w:pPr>
        <w:numPr>
          <w:ilvl w:val="0"/>
          <w:numId w:val="1022"/>
        </w:numPr>
        <w:pStyle w:val="Compact"/>
      </w:pPr>
      <w:r>
        <w:t xml:space="preserve">Шаг 2: Инициализация массивов</w:t>
      </w:r>
    </w:p>
    <w:p>
      <w:pPr>
        <w:numPr>
          <w:ilvl w:val="0"/>
          <w:numId w:val="1023"/>
        </w:numPr>
        <w:pStyle w:val="Compact"/>
      </w:pPr>
      <w:r>
        <w:t xml:space="preserve">Создание массива фазового состояния phase[N][N] (все узлы = 0 — жидкие)</w:t>
      </w:r>
    </w:p>
    <w:p>
      <w:pPr>
        <w:numPr>
          <w:ilvl w:val="0"/>
          <w:numId w:val="1023"/>
        </w:numPr>
        <w:pStyle w:val="Compact"/>
      </w:pPr>
      <w:r>
        <w:t xml:space="preserve">Создание массива температуры T[N][N] (все узлы = 0)</w:t>
      </w:r>
    </w:p>
    <w:p>
      <w:pPr>
        <w:numPr>
          <w:ilvl w:val="0"/>
          <w:numId w:val="1023"/>
        </w:numPr>
        <w:pStyle w:val="Compact"/>
      </w:pPr>
      <w:r>
        <w:t xml:space="preserve">Создание твердой затравки в центре (phase = 1, T = T̃_m)</w:t>
      </w:r>
    </w:p>
    <w:p>
      <w:pPr>
        <w:numPr>
          <w:ilvl w:val="0"/>
          <w:numId w:val="1024"/>
        </w:numPr>
        <w:pStyle w:val="Compact"/>
      </w:pPr>
      <w:r>
        <w:t xml:space="preserve">Проверка условия остановки</w:t>
      </w:r>
    </w:p>
    <w:p>
      <w:pPr>
        <w:numPr>
          <w:ilvl w:val="0"/>
          <w:numId w:val="1025"/>
        </w:numPr>
        <w:pStyle w:val="Compact"/>
      </w:pPr>
      <w:r>
        <w:t xml:space="preserve">Если дендрит достиг границы → переход к завершению</w:t>
      </w:r>
    </w:p>
    <w:p>
      <w:pPr>
        <w:numPr>
          <w:ilvl w:val="0"/>
          <w:numId w:val="1025"/>
        </w:numPr>
        <w:pStyle w:val="Compact"/>
      </w:pPr>
      <w:r>
        <w:t xml:space="preserve">Если не достиг → продолжение вычислений</w:t>
      </w:r>
    </w:p>
    <w:p>
      <w:pPr>
        <w:numPr>
          <w:ilvl w:val="0"/>
          <w:numId w:val="1026"/>
        </w:numPr>
        <w:pStyle w:val="Compact"/>
      </w:pPr>
      <w:r>
        <w:t xml:space="preserve">Шаг 3: Расчет температурного поля</w:t>
      </w:r>
    </w:p>
    <w:p>
      <w:pPr>
        <w:numPr>
          <w:ilvl w:val="0"/>
          <w:numId w:val="1027"/>
        </w:numPr>
        <w:pStyle w:val="Compact"/>
      </w:pPr>
      <w:r>
        <w:t xml:space="preserve">Выполнение m подшагов тепловой диффузии:</w:t>
      </w:r>
    </w:p>
    <w:p>
      <w:pPr>
        <w:numPr>
          <w:ilvl w:val="1"/>
          <w:numId w:val="1028"/>
        </w:numPr>
        <w:pStyle w:val="Compact"/>
      </w:pPr>
      <w:r>
        <w:t xml:space="preserve">Для каждого узла вычислить лапласиан ∇²T</w:t>
      </w:r>
    </w:p>
    <w:p>
      <w:pPr>
        <w:numPr>
          <w:ilvl w:val="1"/>
          <w:numId w:val="1028"/>
        </w:numPr>
        <w:pStyle w:val="Compact"/>
      </w:pPr>
      <w:r>
        <w:t xml:space="preserve">Обновить температуру T_new = T + χ·(Δt/m)·∇²T</w:t>
      </w:r>
    </w:p>
    <w:p>
      <w:pPr>
        <w:numPr>
          <w:ilvl w:val="1"/>
          <w:numId w:val="1028"/>
        </w:numPr>
        <w:pStyle w:val="Compact"/>
      </w:pPr>
      <w:r>
        <w:t xml:space="preserve">Применить граничные условия T_граница = 0</w:t>
      </w:r>
    </w:p>
    <w:p>
      <w:pPr>
        <w:numPr>
          <w:ilvl w:val="0"/>
          <w:numId w:val="1029"/>
        </w:numPr>
        <w:pStyle w:val="Compact"/>
      </w:pPr>
      <w:r>
        <w:t xml:space="preserve">Шаг 4: Моделирование роста</w:t>
      </w:r>
    </w:p>
    <w:p>
      <w:pPr>
        <w:numPr>
          <w:ilvl w:val="0"/>
          <w:numId w:val="1030"/>
        </w:numPr>
        <w:pStyle w:val="Compact"/>
      </w:pPr>
      <w:r>
        <w:t xml:space="preserve">Обход всех узлов сетки:</w:t>
      </w:r>
    </w:p>
    <w:p>
      <w:pPr>
        <w:numPr>
          <w:ilvl w:val="1"/>
          <w:numId w:val="1031"/>
        </w:numPr>
        <w:pStyle w:val="Compact"/>
      </w:pPr>
      <w:r>
        <w:t xml:space="preserve">Для каждого жидкого узла с твердыми соседями:</w:t>
      </w:r>
    </w:p>
    <w:p>
      <w:pPr>
        <w:numPr>
          <w:ilvl w:val="2"/>
          <w:numId w:val="1032"/>
        </w:numPr>
        <w:pStyle w:val="Compact"/>
      </w:pPr>
      <w:r>
        <w:t xml:space="preserve">Вычислить кривизну s_ij</w:t>
      </w:r>
    </w:p>
    <w:p>
      <w:pPr>
        <w:numPr>
          <w:ilvl w:val="2"/>
          <w:numId w:val="1032"/>
        </w:numPr>
        <w:pStyle w:val="Compact"/>
      </w:pPr>
      <w:r>
        <w:t xml:space="preserve">Сгенерировать случайный шум η_ij</w:t>
      </w:r>
    </w:p>
    <w:p>
      <w:pPr>
        <w:numPr>
          <w:ilvl w:val="2"/>
          <w:numId w:val="1032"/>
        </w:numPr>
        <w:pStyle w:val="Compact"/>
      </w:pPr>
      <w:r>
        <w:t xml:space="preserve">Проверить критерий затвердевания: T ≤ T̃_m + λ·s_ij + η·δ</w:t>
      </w:r>
    </w:p>
    <w:p>
      <w:pPr>
        <w:numPr>
          <w:ilvl w:val="2"/>
          <w:numId w:val="1032"/>
        </w:numPr>
        <w:pStyle w:val="Compact"/>
      </w:pPr>
      <w:r>
        <w:t xml:space="preserve">Если условие выполнено:</w:t>
      </w:r>
    </w:p>
    <w:p>
      <w:pPr>
        <w:numPr>
          <w:ilvl w:val="3"/>
          <w:numId w:val="1033"/>
        </w:numPr>
        <w:pStyle w:val="Compact"/>
      </w:pPr>
      <w:r>
        <w:t xml:space="preserve">phase[i][j] = 1 (переход в твердое состояние)</w:t>
      </w:r>
    </w:p>
    <w:p>
      <w:pPr>
        <w:numPr>
          <w:ilvl w:val="3"/>
          <w:numId w:val="1033"/>
        </w:numPr>
        <w:pStyle w:val="Compact"/>
      </w:pPr>
      <w:r>
        <w:t xml:space="preserve">T[i][j] = T[i][j] + 1 (выделение скрытой теплоты)</w:t>
      </w:r>
    </w:p>
    <w:p>
      <w:pPr>
        <w:numPr>
          <w:ilvl w:val="0"/>
          <w:numId w:val="1034"/>
        </w:numPr>
        <w:pStyle w:val="Compact"/>
      </w:pPr>
      <w:r>
        <w:t xml:space="preserve">Сохранение результатов</w:t>
      </w:r>
    </w:p>
    <w:p>
      <w:pPr>
        <w:numPr>
          <w:ilvl w:val="0"/>
          <w:numId w:val="1035"/>
        </w:numPr>
        <w:pStyle w:val="Compact"/>
      </w:pPr>
      <w:r>
        <w:t xml:space="preserve">Запись фазового и температурного полей для визуализации</w:t>
      </w:r>
    </w:p>
    <w:p>
      <w:pPr>
        <w:numPr>
          <w:ilvl w:val="0"/>
          <w:numId w:val="1036"/>
        </w:numPr>
      </w:pPr>
      <w:r>
        <w:t xml:space="preserve">Возврат к проверке условия остановки (пункт 4)</w:t>
      </w:r>
    </w:p>
    <w:p>
      <w:pPr>
        <w:numPr>
          <w:ilvl w:val="0"/>
          <w:numId w:val="1036"/>
        </w:numPr>
      </w:pPr>
      <w:r>
        <w:t xml:space="preserve">Конец: Завершение моделирования</w:t>
      </w:r>
    </w:p>
    <w:bookmarkEnd w:id="40"/>
    <w:bookmarkStart w:id="41" w:name="условие-остановки"/>
    <w:p>
      <w:pPr>
        <w:pStyle w:val="Heading3"/>
      </w:pPr>
      <w:r>
        <w:t xml:space="preserve">2.5.2 Условие остановки:</w:t>
      </w:r>
    </w:p>
    <w:p>
      <w:pPr>
        <w:pStyle w:val="FirstParagraph"/>
      </w:pPr>
      <w:r>
        <w:t xml:space="preserve">Вычисления продолжаются до тех пор, пока дендрит не достигнет границы расчетной области. Условие проверяется после каждого шага роста: если любой твердый узел находится на границе сетки, моделирование завершается.</w:t>
      </w:r>
    </w:p>
    <w:bookmarkEnd w:id="41"/>
    <w:bookmarkEnd w:id="42"/>
    <w:bookmarkStart w:id="46" w:name="X8635b88cadf877bcf584a87ab2684c0f7152e75"/>
    <w:p>
      <w:pPr>
        <w:pStyle w:val="Heading2"/>
      </w:pPr>
      <w:r>
        <w:t xml:space="preserve">2.6 Шаг 6: Исследование зависимости характеристик роста от параметров</w:t>
      </w:r>
    </w:p>
    <w:p>
      <w:pPr>
        <w:pStyle w:val="FirstParagraph"/>
      </w:pPr>
      <w:r>
        <w:t xml:space="preserve">На шестом этапе выполняются серии расчетов для анализа влияния ключевых параметров на морфологию дендритов.[1]</w:t>
      </w:r>
    </w:p>
    <w:bookmarkStart w:id="43" w:name="параметры-для-исследования"/>
    <w:p>
      <w:pPr>
        <w:pStyle w:val="Heading3"/>
      </w:pPr>
      <w:r>
        <w:t xml:space="preserve">2.6.1 Параметры для исследования: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30"/>
        <w:gridCol w:w="2030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Исследуемый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Переохлаждение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0.1–0.9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роста, плотность ветвления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Капиллярный параметр</w:t>
            </w:r>
            <w:r>
              <w:t xml:space="preserve"> 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0.01–0.5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Стабилизация границы, радиус вершины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Амплитуда шума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0–0.2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Вторичное ветвление, симметрия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Температуропроводность</w:t>
            </w:r>
            <w:r>
              <w:t xml:space="preserve"> </w:t>
            </w: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0.1–0.5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отвода тепла</w:t>
            </w:r>
          </w:p>
        </w:tc>
      </w:tr>
    </w:tbl>
    <w:bookmarkEnd w:id="43"/>
    <w:bookmarkStart w:id="44" w:name="анализируемые-характеристики"/>
    <w:p>
      <w:pPr>
        <w:pStyle w:val="Heading3"/>
      </w:pPr>
      <w:r>
        <w:t xml:space="preserve">2.6.2 Анализируемые характеристики:</w:t>
      </w:r>
    </w:p>
    <w:p>
      <w:pPr>
        <w:numPr>
          <w:ilvl w:val="0"/>
          <w:numId w:val="1037"/>
        </w:numPr>
      </w:pPr>
      <w:r>
        <w:t xml:space="preserve">Скорость роста вершины: измеряется как смещение фронта во времени</w:t>
      </w:r>
    </w:p>
    <w:p>
      <w:pPr>
        <w:numPr>
          <w:ilvl w:val="0"/>
          <w:numId w:val="1037"/>
        </w:numPr>
      </w:pPr>
      <w:r>
        <w:t xml:space="preserve">Радиус кривизны вершины: определяется по конфигурации твердой фазы</w:t>
      </w:r>
    </w:p>
    <w:p>
      <w:pPr>
        <w:numPr>
          <w:ilvl w:val="0"/>
          <w:numId w:val="1037"/>
        </w:numPr>
      </w:pPr>
      <w:r>
        <w:t xml:space="preserve">Плотность вторичных ветвей: количество ответвлений на единицу длины</w:t>
      </w:r>
    </w:p>
    <w:p>
      <w:pPr>
        <w:numPr>
          <w:ilvl w:val="0"/>
          <w:numId w:val="1037"/>
        </w:numPr>
      </w:pPr>
      <w:r>
        <w:t xml:space="preserve">Время достижения границы: полное время моделирования до остановки</w:t>
      </w:r>
    </w:p>
    <w:bookmarkEnd w:id="44"/>
    <w:bookmarkStart w:id="45" w:name="методика-проведения-исследований"/>
    <w:p>
      <w:pPr>
        <w:pStyle w:val="Heading3"/>
      </w:pPr>
      <w:r>
        <w:t xml:space="preserve">2.6.3 Методика проведения исследований:</w:t>
      </w:r>
    </w:p>
    <w:p>
      <w:pPr>
        <w:numPr>
          <w:ilvl w:val="0"/>
          <w:numId w:val="1038"/>
        </w:numPr>
      </w:pPr>
      <w:r>
        <w:t xml:space="preserve">Зафиксировать все параметры, кроме исследуемого</w:t>
      </w:r>
    </w:p>
    <w:p>
      <w:pPr>
        <w:numPr>
          <w:ilvl w:val="0"/>
          <w:numId w:val="1038"/>
        </w:numPr>
      </w:pPr>
      <w:r>
        <w:t xml:space="preserve">Выполнить серию расчетов с различными значениями исследуемого параметра</w:t>
      </w:r>
    </w:p>
    <w:p>
      <w:pPr>
        <w:numPr>
          <w:ilvl w:val="0"/>
          <w:numId w:val="1038"/>
        </w:numPr>
      </w:pPr>
      <w:r>
        <w:t xml:space="preserve">Для каждого расчета сохранить:</w:t>
      </w:r>
    </w:p>
    <w:p>
      <w:pPr>
        <w:numPr>
          <w:ilvl w:val="0"/>
          <w:numId w:val="1039"/>
        </w:numPr>
        <w:pStyle w:val="Compact"/>
      </w:pPr>
      <w:r>
        <w:t xml:space="preserve">Финальную морфологию дендрита</w:t>
      </w:r>
    </w:p>
    <w:p>
      <w:pPr>
        <w:numPr>
          <w:ilvl w:val="0"/>
          <w:numId w:val="1039"/>
        </w:numPr>
        <w:pStyle w:val="Compact"/>
      </w:pPr>
      <w:r>
        <w:t xml:space="preserve">Зависимость скорости роста от времени</w:t>
      </w:r>
    </w:p>
    <w:p>
      <w:pPr>
        <w:numPr>
          <w:ilvl w:val="0"/>
          <w:numId w:val="1039"/>
        </w:numPr>
        <w:pStyle w:val="Compact"/>
      </w:pPr>
      <w:r>
        <w:t xml:space="preserve">Время достижения границы</w:t>
      </w:r>
    </w:p>
    <w:p>
      <w:pPr>
        <w:numPr>
          <w:ilvl w:val="0"/>
          <w:numId w:val="1040"/>
        </w:numPr>
        <w:pStyle w:val="Compact"/>
      </w:pPr>
      <w:r>
        <w:t xml:space="preserve">Построить графики зависимостей характеристик от параметров</w:t>
      </w:r>
    </w:p>
    <w:bookmarkEnd w:id="45"/>
    <w:bookmarkEnd w:id="46"/>
    <w:bookmarkStart w:id="53" w:name="шаг-7-визуализация-результатов"/>
    <w:p>
      <w:pPr>
        <w:pStyle w:val="Heading2"/>
      </w:pPr>
      <w:r>
        <w:t xml:space="preserve">2.7 Шаг 7: Визуализация результатов</w:t>
      </w:r>
    </w:p>
    <w:p>
      <w:pPr>
        <w:pStyle w:val="FirstParagraph"/>
      </w:pPr>
      <w:r>
        <w:t xml:space="preserve">Седьмой этап обеспечивает графическое представление процесса роста и финальных результатов(рис. 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0" w:name="fig-048"/>
          <w:p>
            <w:pPr>
              <w:pStyle w:val="Compact"/>
              <w:jc w:val="center"/>
            </w:pPr>
            <w:r>
              <w:drawing>
                <wp:inline>
                  <wp:extent cx="3733800" cy="127412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pic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4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Рост дендрита</w:t>
            </w:r>
          </w:p>
          <w:bookmarkEnd w:id="50"/>
        </w:tc>
      </w:tr>
    </w:tbl>
    <w:bookmarkStart w:id="51" w:name="визуализация-в-процессе-моделирования"/>
    <w:p>
      <w:pPr>
        <w:pStyle w:val="Heading3"/>
      </w:pPr>
      <w:r>
        <w:t xml:space="preserve">2.7.1 Визуализация в процессе моделирования:</w:t>
      </w:r>
    </w:p>
    <w:p>
      <w:pPr>
        <w:pStyle w:val="FirstParagraph"/>
      </w:pPr>
      <w:r>
        <w:t xml:space="preserve">На каждом шаге роста (или с заданной периодичностью) сохраняются:</w:t>
      </w:r>
    </w:p>
    <w:p>
      <w:pPr>
        <w:numPr>
          <w:ilvl w:val="0"/>
          <w:numId w:val="1041"/>
        </w:numPr>
      </w:pPr>
      <w:r>
        <w:t xml:space="preserve">Фазовое поле: отображение твердой (например, черный) и жидкой (белый) фаз</w:t>
      </w:r>
    </w:p>
    <w:p>
      <w:pPr>
        <w:numPr>
          <w:ilvl w:val="0"/>
          <w:numId w:val="1041"/>
        </w:numPr>
      </w:pPr>
      <w:r>
        <w:t xml:space="preserve">Температурное поле: цветовая карта распределения безразмерной температуры</w:t>
      </w:r>
    </w:p>
    <w:bookmarkEnd w:id="51"/>
    <w:bookmarkStart w:id="52" w:name="финальная-визуализация"/>
    <w:p>
      <w:pPr>
        <w:pStyle w:val="Heading3"/>
      </w:pPr>
      <w:r>
        <w:t xml:space="preserve">2.7.2 Финальная визуализация:</w:t>
      </w:r>
    </w:p>
    <w:p>
      <w:pPr>
        <w:pStyle w:val="FirstParagraph"/>
      </w:pPr>
      <w:r>
        <w:t xml:space="preserve">По завершении моделирования:</w:t>
      </w:r>
    </w:p>
    <w:p>
      <w:pPr>
        <w:numPr>
          <w:ilvl w:val="0"/>
          <w:numId w:val="1042"/>
        </w:numPr>
        <w:pStyle w:val="Compact"/>
      </w:pPr>
      <w:r>
        <w:t xml:space="preserve">Построение финальной морфологии дендрита</w:t>
      </w:r>
    </w:p>
    <w:p>
      <w:pPr>
        <w:numPr>
          <w:ilvl w:val="0"/>
          <w:numId w:val="1042"/>
        </w:numPr>
        <w:pStyle w:val="Compact"/>
      </w:pPr>
      <w:r>
        <w:t xml:space="preserve">Создание анимации процесса роста на основе сохраненных кадров</w:t>
      </w:r>
    </w:p>
    <w:p>
      <w:pPr>
        <w:numPr>
          <w:ilvl w:val="0"/>
          <w:numId w:val="1042"/>
        </w:numPr>
        <w:pStyle w:val="Compact"/>
      </w:pPr>
      <w:r>
        <w:t xml:space="preserve">Построение графиков зависимостей (скорость роста от времени, влияние параметров)</w:t>
      </w:r>
    </w:p>
    <w:bookmarkEnd w:id="52"/>
    <w:bookmarkEnd w:id="53"/>
    <w:bookmarkEnd w:id="54"/>
    <w:bookmarkStart w:id="5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На втором этапе группового проекта описан алгоритм из 7 шагов для моделирования роста дендритов в переохлажденном расплаве. Граничные условия задаются постоянной температурой, равной начальной температуре расплава.</w:t>
      </w:r>
    </w:p>
    <w:bookmarkEnd w:id="55"/>
    <w:bookmarkStart w:id="5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43"/>
        </w:numPr>
      </w:pPr>
      <w:r>
        <w:t xml:space="preserve">W. W. Mullins and R. F. Sekerka,</w:t>
      </w:r>
      <w:r>
        <w:t xml:space="preserve"> </w:t>
      </w:r>
      <w:r>
        <w:t xml:space="preserve">“</w:t>
      </w:r>
      <w:r>
        <w:t xml:space="preserve">Stability of a planar interface during solidification of a dilute binary alloy,</w:t>
      </w:r>
      <w:r>
        <w:t xml:space="preserve">”</w:t>
      </w:r>
      <w:r>
        <w:t xml:space="preserve"> </w:t>
      </w:r>
      <w:r>
        <w:t xml:space="preserve">Journal of Applied Physics, vol. 35, no. 2, pp. 444–451, 1964.</w:t>
      </w:r>
    </w:p>
    <w:p>
      <w:pPr>
        <w:numPr>
          <w:ilvl w:val="0"/>
          <w:numId w:val="1043"/>
        </w:numPr>
      </w:pPr>
      <w:r>
        <w:t xml:space="preserve">J. W. Gibbs,</w:t>
      </w:r>
      <w:r>
        <w:t xml:space="preserve"> </w:t>
      </w:r>
      <w:r>
        <w:t xml:space="preserve">“</w:t>
      </w:r>
      <w:r>
        <w:t xml:space="preserve">On the Equilibrium of Heterogeneous Substances,</w:t>
      </w:r>
      <w:r>
        <w:t xml:space="preserve">”</w:t>
      </w:r>
      <w:r>
        <w:t xml:space="preserve"> </w:t>
      </w:r>
      <w:r>
        <w:t xml:space="preserve">Transactions of the Connecticut Academy of Arts and Sciences, vol. 3, pp. 108–248, 1875–1878.</w:t>
      </w:r>
    </w:p>
    <w:p>
      <w:pPr>
        <w:numPr>
          <w:ilvl w:val="0"/>
          <w:numId w:val="1043"/>
        </w:numPr>
      </w:pPr>
      <w:r>
        <w:t xml:space="preserve">Y. Saito, G. Goldbeck-Wood, and H. Müller-Krumbhaar,</w:t>
      </w:r>
      <w:r>
        <w:t xml:space="preserve"> </w:t>
      </w:r>
      <w:r>
        <w:t xml:space="preserve">“</w:t>
      </w:r>
      <w:r>
        <w:t xml:space="preserve">Numerical simulation of dendritic growth,</w:t>
      </w:r>
      <w:r>
        <w:t xml:space="preserve">”</w:t>
      </w:r>
      <w:r>
        <w:t xml:space="preserve"> </w:t>
      </w:r>
      <w:r>
        <w:t xml:space="preserve">Physical Review A, vol. 38, no. 4, pp. 2148–2157, 1988.</w:t>
      </w:r>
    </w:p>
    <w:p>
      <w:pPr>
        <w:numPr>
          <w:ilvl w:val="0"/>
          <w:numId w:val="1043"/>
        </w:numPr>
      </w:pPr>
      <w:r>
        <w:t xml:space="preserve">Д. А. Медведев,</w:t>
      </w:r>
      <w:r>
        <w:t xml:space="preserve"> </w:t>
      </w:r>
      <w:r>
        <w:t xml:space="preserve">“</w:t>
      </w:r>
      <w:r>
        <w:t xml:space="preserve">Моделирование физических процессов и явлений на ПК,</w:t>
      </w:r>
      <w:r>
        <w:t xml:space="preserve">”</w:t>
      </w:r>
      <w:r>
        <w:t xml:space="preserve"> </w:t>
      </w:r>
      <w:r>
        <w:t xml:space="preserve">учебное пособие</w:t>
      </w:r>
    </w:p>
    <w:p>
      <w:pPr>
        <w:numPr>
          <w:ilvl w:val="0"/>
          <w:numId w:val="1043"/>
        </w:numPr>
      </w:pPr>
      <w:r>
        <w:t xml:space="preserve">Wang K. и др. Dendrite growth in the recharging process of zinc–air batteries [Электронный ресурс]. Journal of Materials Chemistry A, 2025. URL: https://pubs.rsc.org/en/</w:t>
      </w:r>
      <w:r>
        <w:t xml:space="preserve"> </w:t>
      </w:r>
      <w:r>
        <w:t xml:space="preserve">content/articlelanding/2015/ta/c5ta06366c/unauth.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1"/>
  </w:num>
  <w:num w:numId="1028">
    <w:abstractNumId w:val="991"/>
  </w:num>
  <w:num w:numId="102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5">
    <w:abstractNumId w:val="991"/>
  </w:num>
  <w:num w:numId="103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Групповой проект. Этап 2</dc:title>
  <dc:creator>Вакутайпа Милдред, Разанацуа Сара Естэлл, Нджову Нелиа</dc:creator>
  <dc:language>ru-RU</dc:language>
  <cp:keywords/>
  <dcterms:created xsi:type="dcterms:W3CDTF">2026-03-29T18:37:02Z</dcterms:created>
  <dcterms:modified xsi:type="dcterms:W3CDTF">2026-03-29T18:37:02Z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Алгоритм решения задачи Рост дендритов</vt:lpwstr>
  </property>
  <property fmtid="{D5CDD505-2E9C-101B-9397-08002B2CF9AE}" pid="16" name="toc-title">
    <vt:lpwstr>Содержание</vt:lpwstr>
  </property>
</Properties>
</file>