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7CD7" w14:textId="77777777" w:rsidR="00612189" w:rsidRDefault="00612189" w:rsidP="00612189">
      <w:pPr>
        <w:suppressAutoHyphens w:val="0"/>
        <w:jc w:val="center"/>
        <w:rPr>
          <w:color w:val="FF0000"/>
        </w:rPr>
      </w:pPr>
    </w:p>
    <w:p w14:paraId="1FB047E8" w14:textId="77777777" w:rsidR="00612189" w:rsidRDefault="00612189" w:rsidP="00612189">
      <w:pPr>
        <w:suppressAutoHyphens w:val="0"/>
        <w:jc w:val="center"/>
        <w:rPr>
          <w:color w:val="FF0000"/>
        </w:rPr>
      </w:pPr>
    </w:p>
    <w:p w14:paraId="48C3563D" w14:textId="77777777" w:rsidR="00612189" w:rsidRDefault="00612189" w:rsidP="00612189">
      <w:pPr>
        <w:suppressAutoHyphens w:val="0"/>
        <w:jc w:val="center"/>
        <w:rPr>
          <w:color w:val="FF0000"/>
        </w:rPr>
      </w:pPr>
    </w:p>
    <w:p w14:paraId="08D03C87" w14:textId="77777777" w:rsidR="00612189" w:rsidRDefault="00612189" w:rsidP="00612189">
      <w:pPr>
        <w:suppressAutoHyphens w:val="0"/>
        <w:jc w:val="center"/>
        <w:rPr>
          <w:color w:val="FF0000"/>
        </w:rPr>
      </w:pPr>
    </w:p>
    <w:p w14:paraId="37AEBCC4" w14:textId="77777777" w:rsidR="00612189" w:rsidRDefault="00612189" w:rsidP="00612189">
      <w:pPr>
        <w:suppressAutoHyphens w:val="0"/>
        <w:jc w:val="center"/>
        <w:rPr>
          <w:b/>
        </w:rPr>
      </w:pPr>
      <w:r>
        <w:rPr>
          <w:b/>
        </w:rPr>
        <w:t>MBO Task</w:t>
      </w:r>
    </w:p>
    <w:p w14:paraId="458C8E1C" w14:textId="77777777" w:rsidR="00612189" w:rsidRDefault="00612189" w:rsidP="00612189">
      <w:pPr>
        <w:suppressAutoHyphens w:val="0"/>
        <w:jc w:val="center"/>
      </w:pPr>
    </w:p>
    <w:p w14:paraId="3C349905" w14:textId="77777777" w:rsidR="00612189" w:rsidRDefault="00612189" w:rsidP="00612189">
      <w:pPr>
        <w:suppressAutoHyphens w:val="0"/>
        <w:jc w:val="center"/>
      </w:pPr>
    </w:p>
    <w:p w14:paraId="48DF2E48" w14:textId="77777777" w:rsidR="00612189" w:rsidRDefault="00612189" w:rsidP="00612189">
      <w:pPr>
        <w:suppressAutoHyphens w:val="0"/>
        <w:jc w:val="center"/>
      </w:pPr>
    </w:p>
    <w:p w14:paraId="34FF555A" w14:textId="77777777" w:rsidR="00612189" w:rsidRDefault="00612189" w:rsidP="00612189">
      <w:pPr>
        <w:suppressAutoHyphens w:val="0"/>
        <w:jc w:val="center"/>
      </w:pPr>
      <w:r>
        <w:t>Students Name</w:t>
      </w:r>
    </w:p>
    <w:p w14:paraId="427A2554" w14:textId="77777777" w:rsidR="00612189" w:rsidRDefault="00612189" w:rsidP="00612189">
      <w:pPr>
        <w:suppressAutoHyphens w:val="0"/>
        <w:jc w:val="center"/>
      </w:pPr>
      <w:r>
        <w:t>Institutional Affiliation</w:t>
      </w:r>
    </w:p>
    <w:p w14:paraId="62F6D3DE" w14:textId="77777777" w:rsidR="00612189" w:rsidRDefault="00612189" w:rsidP="00612189">
      <w:pPr>
        <w:suppressAutoHyphens w:val="0"/>
        <w:jc w:val="center"/>
      </w:pPr>
      <w:r>
        <w:t>Course</w:t>
      </w:r>
    </w:p>
    <w:p w14:paraId="322AC903" w14:textId="77777777" w:rsidR="00612189" w:rsidRDefault="00612189" w:rsidP="00612189">
      <w:pPr>
        <w:suppressAutoHyphens w:val="0"/>
        <w:jc w:val="center"/>
      </w:pPr>
      <w:r>
        <w:t>Date</w:t>
      </w:r>
    </w:p>
    <w:p w14:paraId="2E6E3801" w14:textId="77777777" w:rsidR="00612189" w:rsidRDefault="00612189" w:rsidP="00612189">
      <w:pPr>
        <w:pageBreakBefore/>
        <w:suppressAutoHyphens w:val="0"/>
      </w:pPr>
    </w:p>
    <w:p w14:paraId="556755E1" w14:textId="77777777" w:rsidR="00612189" w:rsidRDefault="00612189" w:rsidP="00612189">
      <w:pPr>
        <w:pStyle w:val="TOCHeading"/>
        <w:outlineLvl w:val="9"/>
      </w:pPr>
      <w:r>
        <w:t>Table of Contents</w:t>
      </w:r>
    </w:p>
    <w:p w14:paraId="78567892" w14:textId="77777777" w:rsidR="00612189" w:rsidRDefault="00612189" w:rsidP="00612189">
      <w:pPr>
        <w:pStyle w:val="TOC1"/>
        <w:tabs>
          <w:tab w:val="right" w:leader="dot" w:pos="9016"/>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hyperlink w:anchor="_Toc186282393" w:history="1">
        <w:r>
          <w:rPr>
            <w:rStyle w:val="Hyperlink"/>
          </w:rPr>
          <w:t>EXECUTIVE SUMMARY</w:t>
        </w:r>
        <w:r>
          <w:tab/>
          <w:t>3</w:t>
        </w:r>
      </w:hyperlink>
    </w:p>
    <w:p w14:paraId="285C5F18" w14:textId="77777777" w:rsidR="00612189" w:rsidRDefault="00700B9B" w:rsidP="00612189">
      <w:pPr>
        <w:pStyle w:val="TOC1"/>
        <w:tabs>
          <w:tab w:val="right" w:leader="dot" w:pos="9016"/>
        </w:tabs>
      </w:pPr>
      <w:hyperlink w:anchor="_Toc186282394" w:history="1">
        <w:r w:rsidR="00612189">
          <w:rPr>
            <w:rStyle w:val="Hyperlink"/>
            <w:b/>
          </w:rPr>
          <w:t>BACKGROUND OF THE GIVEN CASE STUDY COMPANY.</w:t>
        </w:r>
        <w:r w:rsidR="00612189">
          <w:tab/>
          <w:t>3</w:t>
        </w:r>
      </w:hyperlink>
    </w:p>
    <w:p w14:paraId="7AB8DE7A" w14:textId="77777777" w:rsidR="00612189" w:rsidRDefault="00700B9B" w:rsidP="00612189">
      <w:pPr>
        <w:pStyle w:val="TOC1"/>
        <w:tabs>
          <w:tab w:val="right" w:leader="dot" w:pos="9016"/>
        </w:tabs>
      </w:pPr>
      <w:hyperlink w:anchor="_Toc186282395" w:history="1">
        <w:r w:rsidR="00612189">
          <w:rPr>
            <w:rStyle w:val="Hyperlink"/>
            <w:b/>
          </w:rPr>
          <w:t>TASK 1 Balancing Capital Investments</w:t>
        </w:r>
        <w:r w:rsidR="00612189">
          <w:tab/>
          <w:t>3</w:t>
        </w:r>
      </w:hyperlink>
    </w:p>
    <w:p w14:paraId="213BE875" w14:textId="77777777" w:rsidR="00612189" w:rsidRDefault="00700B9B" w:rsidP="00612189">
      <w:pPr>
        <w:pStyle w:val="TOC2"/>
        <w:tabs>
          <w:tab w:val="right" w:leader="dot" w:pos="9016"/>
        </w:tabs>
      </w:pPr>
      <w:hyperlink w:anchor="_Toc186282396" w:history="1">
        <w:r w:rsidR="00612189">
          <w:rPr>
            <w:rStyle w:val="Hyperlink"/>
            <w:b/>
          </w:rPr>
          <w:t>AI Answer</w:t>
        </w:r>
        <w:r w:rsidR="00612189">
          <w:tab/>
          <w:t>3</w:t>
        </w:r>
      </w:hyperlink>
    </w:p>
    <w:p w14:paraId="125186FB" w14:textId="77777777" w:rsidR="00612189" w:rsidRDefault="00700B9B" w:rsidP="00612189">
      <w:pPr>
        <w:pStyle w:val="TOC2"/>
        <w:tabs>
          <w:tab w:val="right" w:leader="dot" w:pos="9016"/>
        </w:tabs>
      </w:pPr>
      <w:hyperlink w:anchor="_Toc186282397" w:history="1">
        <w:r w:rsidR="00612189">
          <w:rPr>
            <w:rStyle w:val="Hyperlink"/>
            <w:rFonts w:eastAsia="Times New Roman"/>
            <w:b/>
            <w:lang w:val="en-US"/>
          </w:rPr>
          <w:t>Student Answer</w:t>
        </w:r>
        <w:r w:rsidR="00612189">
          <w:tab/>
          <w:t>3</w:t>
        </w:r>
      </w:hyperlink>
    </w:p>
    <w:p w14:paraId="5CB400AE" w14:textId="77777777" w:rsidR="00612189" w:rsidRDefault="00700B9B" w:rsidP="00612189">
      <w:pPr>
        <w:pStyle w:val="TOC2"/>
        <w:tabs>
          <w:tab w:val="right" w:leader="dot" w:pos="9016"/>
        </w:tabs>
      </w:pPr>
      <w:hyperlink w:anchor="_Toc186282398" w:history="1">
        <w:r w:rsidR="00612189">
          <w:rPr>
            <w:rStyle w:val="Hyperlink"/>
            <w:b/>
          </w:rPr>
          <w:t>Comparison</w:t>
        </w:r>
        <w:r w:rsidR="00612189">
          <w:tab/>
          <w:t>5</w:t>
        </w:r>
      </w:hyperlink>
    </w:p>
    <w:p w14:paraId="008B0794" w14:textId="77777777" w:rsidR="00612189" w:rsidRDefault="00700B9B" w:rsidP="00612189">
      <w:pPr>
        <w:pStyle w:val="TOC1"/>
        <w:tabs>
          <w:tab w:val="right" w:leader="dot" w:pos="9016"/>
        </w:tabs>
      </w:pPr>
      <w:hyperlink w:anchor="_Toc186282399" w:history="1">
        <w:r w:rsidR="00612189">
          <w:rPr>
            <w:rStyle w:val="Hyperlink"/>
            <w:b/>
          </w:rPr>
          <w:t>TASK 2 Enhancing Supply Chain Sustainability</w:t>
        </w:r>
        <w:r w:rsidR="00612189">
          <w:tab/>
          <w:t>5</w:t>
        </w:r>
      </w:hyperlink>
    </w:p>
    <w:p w14:paraId="70AE6F9C" w14:textId="77777777" w:rsidR="00612189" w:rsidRDefault="00700B9B" w:rsidP="00612189">
      <w:pPr>
        <w:pStyle w:val="TOC2"/>
        <w:tabs>
          <w:tab w:val="right" w:leader="dot" w:pos="9016"/>
        </w:tabs>
      </w:pPr>
      <w:hyperlink w:anchor="_Toc186282400" w:history="1">
        <w:r w:rsidR="00612189">
          <w:rPr>
            <w:rStyle w:val="Hyperlink"/>
            <w:b/>
          </w:rPr>
          <w:t>AI Answer (Critical Analysis)</w:t>
        </w:r>
        <w:r w:rsidR="00612189">
          <w:tab/>
          <w:t>5</w:t>
        </w:r>
      </w:hyperlink>
    </w:p>
    <w:p w14:paraId="6EFCB260" w14:textId="77777777" w:rsidR="00612189" w:rsidRDefault="00700B9B" w:rsidP="00612189">
      <w:pPr>
        <w:pStyle w:val="TOC2"/>
        <w:tabs>
          <w:tab w:val="right" w:leader="dot" w:pos="9016"/>
        </w:tabs>
      </w:pPr>
      <w:hyperlink w:anchor="_Toc186282401" w:history="1">
        <w:r w:rsidR="00612189">
          <w:rPr>
            <w:rStyle w:val="Hyperlink"/>
            <w:rFonts w:eastAsia="Times New Roman"/>
            <w:b/>
            <w:lang w:val="en-US"/>
          </w:rPr>
          <w:t>Student Answer</w:t>
        </w:r>
        <w:r w:rsidR="00612189">
          <w:tab/>
          <w:t>5</w:t>
        </w:r>
      </w:hyperlink>
    </w:p>
    <w:p w14:paraId="6F53F83F" w14:textId="77777777" w:rsidR="00612189" w:rsidRDefault="00700B9B" w:rsidP="00612189">
      <w:pPr>
        <w:pStyle w:val="TOC2"/>
        <w:tabs>
          <w:tab w:val="right" w:leader="dot" w:pos="9016"/>
        </w:tabs>
      </w:pPr>
      <w:hyperlink w:anchor="_Toc186282402" w:history="1">
        <w:r w:rsidR="00612189">
          <w:rPr>
            <w:rStyle w:val="Hyperlink"/>
            <w:rFonts w:eastAsia="Times New Roman"/>
            <w:b/>
            <w:lang w:val="en-US"/>
          </w:rPr>
          <w:t>Comparison</w:t>
        </w:r>
        <w:r w:rsidR="00612189">
          <w:tab/>
          <w:t>6</w:t>
        </w:r>
      </w:hyperlink>
    </w:p>
    <w:p w14:paraId="03676DF8" w14:textId="77777777" w:rsidR="00612189" w:rsidRDefault="00700B9B" w:rsidP="00612189">
      <w:pPr>
        <w:pStyle w:val="TOC1"/>
        <w:tabs>
          <w:tab w:val="right" w:leader="dot" w:pos="9016"/>
        </w:tabs>
      </w:pPr>
      <w:hyperlink w:anchor="_Toc186282403" w:history="1">
        <w:r w:rsidR="00612189">
          <w:rPr>
            <w:rStyle w:val="Hyperlink"/>
            <w:b/>
          </w:rPr>
          <w:t>TASK 3 Global-Local Strategy Integration</w:t>
        </w:r>
        <w:r w:rsidR="00612189">
          <w:tab/>
          <w:t>7</w:t>
        </w:r>
      </w:hyperlink>
    </w:p>
    <w:p w14:paraId="31F277EB" w14:textId="77777777" w:rsidR="00612189" w:rsidRDefault="00700B9B" w:rsidP="00612189">
      <w:pPr>
        <w:pStyle w:val="TOC2"/>
        <w:tabs>
          <w:tab w:val="right" w:leader="dot" w:pos="9016"/>
        </w:tabs>
      </w:pPr>
      <w:hyperlink w:anchor="_Toc186282404" w:history="1">
        <w:r w:rsidR="00612189">
          <w:rPr>
            <w:rStyle w:val="Hyperlink"/>
            <w:rFonts w:eastAsia="Times New Roman"/>
            <w:b/>
            <w:lang w:val="en-US"/>
          </w:rPr>
          <w:t>AI Answer (Critical Analysis)</w:t>
        </w:r>
        <w:r w:rsidR="00612189">
          <w:tab/>
          <w:t>7</w:t>
        </w:r>
      </w:hyperlink>
    </w:p>
    <w:p w14:paraId="3DEF4E62" w14:textId="77777777" w:rsidR="00612189" w:rsidRDefault="00700B9B" w:rsidP="00612189">
      <w:pPr>
        <w:pStyle w:val="TOC2"/>
        <w:tabs>
          <w:tab w:val="right" w:leader="dot" w:pos="9016"/>
        </w:tabs>
      </w:pPr>
      <w:hyperlink w:anchor="_Toc186282405" w:history="1">
        <w:r w:rsidR="00612189">
          <w:rPr>
            <w:rStyle w:val="Hyperlink"/>
            <w:rFonts w:eastAsia="Times New Roman"/>
            <w:b/>
            <w:lang w:val="en-US"/>
          </w:rPr>
          <w:t>Student Answer</w:t>
        </w:r>
        <w:r w:rsidR="00612189">
          <w:tab/>
          <w:t>7</w:t>
        </w:r>
      </w:hyperlink>
    </w:p>
    <w:p w14:paraId="209EE18A" w14:textId="77777777" w:rsidR="00612189" w:rsidRDefault="00700B9B" w:rsidP="00612189">
      <w:pPr>
        <w:pStyle w:val="TOC2"/>
        <w:tabs>
          <w:tab w:val="right" w:leader="dot" w:pos="9016"/>
        </w:tabs>
      </w:pPr>
      <w:hyperlink w:anchor="_Toc186282406" w:history="1">
        <w:r w:rsidR="00612189">
          <w:rPr>
            <w:rStyle w:val="Hyperlink"/>
            <w:rFonts w:eastAsia="Times New Roman"/>
            <w:b/>
            <w:lang w:val="en-US"/>
          </w:rPr>
          <w:t>Comparison</w:t>
        </w:r>
        <w:r w:rsidR="00612189">
          <w:tab/>
          <w:t>8</w:t>
        </w:r>
      </w:hyperlink>
    </w:p>
    <w:p w14:paraId="0A3F401B" w14:textId="77777777" w:rsidR="00612189" w:rsidRDefault="00700B9B" w:rsidP="00612189">
      <w:pPr>
        <w:pStyle w:val="TOC1"/>
        <w:tabs>
          <w:tab w:val="right" w:leader="dot" w:pos="9016"/>
        </w:tabs>
      </w:pPr>
      <w:hyperlink w:anchor="_Toc186282407" w:history="1">
        <w:r w:rsidR="00612189">
          <w:rPr>
            <w:rStyle w:val="Hyperlink"/>
            <w:b/>
          </w:rPr>
          <w:t>TASK 4: Systemic Risks in Digital Transformation</w:t>
        </w:r>
        <w:r w:rsidR="00612189">
          <w:tab/>
          <w:t>8</w:t>
        </w:r>
      </w:hyperlink>
    </w:p>
    <w:p w14:paraId="378AFE89" w14:textId="77777777" w:rsidR="00612189" w:rsidRDefault="00700B9B" w:rsidP="00612189">
      <w:pPr>
        <w:pStyle w:val="TOC2"/>
        <w:tabs>
          <w:tab w:val="right" w:leader="dot" w:pos="9016"/>
        </w:tabs>
      </w:pPr>
      <w:hyperlink w:anchor="_Toc186282408" w:history="1">
        <w:r w:rsidR="00612189">
          <w:rPr>
            <w:rStyle w:val="Hyperlink"/>
            <w:rFonts w:eastAsia="Times New Roman"/>
            <w:b/>
            <w:lang w:val="en-US"/>
          </w:rPr>
          <w:t>AI Answer (Critical Analysis)</w:t>
        </w:r>
        <w:r w:rsidR="00612189">
          <w:tab/>
          <w:t>8</w:t>
        </w:r>
      </w:hyperlink>
    </w:p>
    <w:p w14:paraId="6A53A67B" w14:textId="77777777" w:rsidR="00612189" w:rsidRDefault="00700B9B" w:rsidP="00612189">
      <w:pPr>
        <w:pStyle w:val="TOC2"/>
        <w:tabs>
          <w:tab w:val="right" w:leader="dot" w:pos="9016"/>
        </w:tabs>
      </w:pPr>
      <w:hyperlink w:anchor="_Toc186282409" w:history="1">
        <w:r w:rsidR="00612189">
          <w:rPr>
            <w:rStyle w:val="Hyperlink"/>
            <w:rFonts w:eastAsia="Times New Roman"/>
            <w:b/>
            <w:lang w:val="en-US"/>
          </w:rPr>
          <w:t>Student Answer</w:t>
        </w:r>
        <w:r w:rsidR="00612189">
          <w:tab/>
          <w:t>8</w:t>
        </w:r>
      </w:hyperlink>
    </w:p>
    <w:p w14:paraId="2626BF49" w14:textId="77777777" w:rsidR="00612189" w:rsidRDefault="00700B9B" w:rsidP="00612189">
      <w:pPr>
        <w:pStyle w:val="TOC2"/>
        <w:tabs>
          <w:tab w:val="right" w:leader="dot" w:pos="9016"/>
        </w:tabs>
      </w:pPr>
      <w:hyperlink w:anchor="_Toc186282410" w:history="1">
        <w:r w:rsidR="00612189">
          <w:rPr>
            <w:rStyle w:val="Hyperlink"/>
            <w:rFonts w:eastAsia="Times New Roman"/>
            <w:b/>
            <w:lang w:val="en-US"/>
          </w:rPr>
          <w:t>Comparison</w:t>
        </w:r>
        <w:r w:rsidR="00612189">
          <w:tab/>
          <w:t>9</w:t>
        </w:r>
      </w:hyperlink>
    </w:p>
    <w:p w14:paraId="37851E00" w14:textId="77777777" w:rsidR="00612189" w:rsidRDefault="00700B9B" w:rsidP="00612189">
      <w:pPr>
        <w:pStyle w:val="TOC1"/>
        <w:tabs>
          <w:tab w:val="right" w:leader="dot" w:pos="9016"/>
        </w:tabs>
      </w:pPr>
      <w:hyperlink w:anchor="_Toc186282411" w:history="1">
        <w:r w:rsidR="00612189">
          <w:rPr>
            <w:rStyle w:val="Hyperlink"/>
            <w:b/>
          </w:rPr>
          <w:t>Task 5: Evaluating Sustainability Initiatives</w:t>
        </w:r>
        <w:r w:rsidR="00612189">
          <w:tab/>
          <w:t>9</w:t>
        </w:r>
      </w:hyperlink>
    </w:p>
    <w:p w14:paraId="08DCAE9C" w14:textId="77777777" w:rsidR="00612189" w:rsidRDefault="00700B9B" w:rsidP="00612189">
      <w:pPr>
        <w:pStyle w:val="TOC2"/>
        <w:tabs>
          <w:tab w:val="right" w:leader="dot" w:pos="9016"/>
        </w:tabs>
      </w:pPr>
      <w:hyperlink w:anchor="_Toc186282412" w:history="1">
        <w:r w:rsidR="00612189">
          <w:rPr>
            <w:rStyle w:val="Hyperlink"/>
            <w:rFonts w:eastAsia="Times New Roman"/>
            <w:b/>
            <w:lang w:val="en-US"/>
          </w:rPr>
          <w:t>AI Answer (Critical Analysis)</w:t>
        </w:r>
        <w:r w:rsidR="00612189">
          <w:tab/>
          <w:t>9</w:t>
        </w:r>
      </w:hyperlink>
    </w:p>
    <w:p w14:paraId="15234A86" w14:textId="77777777" w:rsidR="00612189" w:rsidRDefault="00700B9B" w:rsidP="00612189">
      <w:pPr>
        <w:pStyle w:val="TOC2"/>
        <w:tabs>
          <w:tab w:val="right" w:leader="dot" w:pos="9016"/>
        </w:tabs>
      </w:pPr>
      <w:hyperlink w:anchor="_Toc186282413" w:history="1">
        <w:r w:rsidR="00612189">
          <w:rPr>
            <w:rStyle w:val="Hyperlink"/>
            <w:rFonts w:eastAsia="Times New Roman"/>
            <w:b/>
            <w:lang w:val="en-US"/>
          </w:rPr>
          <w:t>Student Answer</w:t>
        </w:r>
        <w:r w:rsidR="00612189">
          <w:tab/>
          <w:t>10</w:t>
        </w:r>
      </w:hyperlink>
    </w:p>
    <w:p w14:paraId="05EEC4D5" w14:textId="77777777" w:rsidR="00612189" w:rsidRDefault="00700B9B" w:rsidP="00612189">
      <w:pPr>
        <w:pStyle w:val="TOC2"/>
        <w:tabs>
          <w:tab w:val="right" w:leader="dot" w:pos="9016"/>
        </w:tabs>
      </w:pPr>
      <w:hyperlink w:anchor="_Toc186282414" w:history="1">
        <w:r w:rsidR="00612189">
          <w:rPr>
            <w:rStyle w:val="Hyperlink"/>
            <w:rFonts w:eastAsia="Times New Roman"/>
            <w:b/>
            <w:lang w:val="en-US"/>
          </w:rPr>
          <w:t>Comparison</w:t>
        </w:r>
        <w:r w:rsidR="00612189">
          <w:tab/>
          <w:t>11</w:t>
        </w:r>
      </w:hyperlink>
    </w:p>
    <w:p w14:paraId="3401E42A" w14:textId="77777777" w:rsidR="00612189" w:rsidRDefault="00700B9B" w:rsidP="00612189">
      <w:pPr>
        <w:pStyle w:val="TOC1"/>
        <w:tabs>
          <w:tab w:val="right" w:leader="dot" w:pos="9016"/>
        </w:tabs>
      </w:pPr>
      <w:hyperlink w:anchor="_Toc186282415" w:history="1">
        <w:r w:rsidR="00612189">
          <w:rPr>
            <w:rStyle w:val="Hyperlink"/>
            <w:b/>
            <w:shd w:val="clear" w:color="auto" w:fill="FFFF00"/>
          </w:rPr>
          <w:t>REFERENCE LIST</w:t>
        </w:r>
        <w:r w:rsidR="00612189">
          <w:tab/>
          <w:t>11</w:t>
        </w:r>
      </w:hyperlink>
    </w:p>
    <w:p w14:paraId="479AEF5B" w14:textId="77777777" w:rsidR="00612189" w:rsidRDefault="00612189" w:rsidP="00612189">
      <w:r>
        <w:fldChar w:fldCharType="end"/>
      </w:r>
    </w:p>
    <w:p w14:paraId="1DDD5692" w14:textId="77777777" w:rsidR="00612189" w:rsidRDefault="00612189" w:rsidP="00612189">
      <w:pPr>
        <w:suppressAutoHyphens w:val="0"/>
      </w:pPr>
      <w:r>
        <w:t xml:space="preserve"> </w:t>
      </w:r>
    </w:p>
    <w:p w14:paraId="1CE82FF6" w14:textId="77777777" w:rsidR="00612189" w:rsidRDefault="00612189" w:rsidP="00612189">
      <w:pPr>
        <w:rPr>
          <w:color w:val="FF0000"/>
        </w:rPr>
      </w:pPr>
    </w:p>
    <w:p w14:paraId="1A354DB5" w14:textId="77777777" w:rsidR="00EF6EAD" w:rsidRDefault="00EF6EAD" w:rsidP="00612189">
      <w:pPr>
        <w:rPr>
          <w:color w:val="FF0000"/>
        </w:rPr>
      </w:pPr>
    </w:p>
    <w:p w14:paraId="42EDC0F8" w14:textId="77777777" w:rsidR="00EF6EAD" w:rsidRDefault="00EF6EAD" w:rsidP="00612189">
      <w:pPr>
        <w:rPr>
          <w:color w:val="FF0000"/>
        </w:rPr>
      </w:pPr>
    </w:p>
    <w:p w14:paraId="6BB7EF19" w14:textId="77777777" w:rsidR="00EF6EAD" w:rsidRDefault="00EF6EAD" w:rsidP="00612189">
      <w:pPr>
        <w:rPr>
          <w:color w:val="FF0000"/>
        </w:rPr>
      </w:pPr>
    </w:p>
    <w:p w14:paraId="7E14593F" w14:textId="77777777" w:rsidR="00EF6EAD" w:rsidRDefault="00EF6EAD" w:rsidP="00612189">
      <w:pPr>
        <w:rPr>
          <w:color w:val="FF0000"/>
        </w:rPr>
      </w:pPr>
    </w:p>
    <w:p w14:paraId="64E05356" w14:textId="77777777" w:rsidR="00EF6EAD" w:rsidRDefault="00EF6EAD" w:rsidP="00612189">
      <w:pPr>
        <w:rPr>
          <w:color w:val="FF0000"/>
        </w:rPr>
      </w:pPr>
    </w:p>
    <w:p w14:paraId="1284A62B" w14:textId="77777777" w:rsidR="00612189" w:rsidRDefault="00612189" w:rsidP="00612189">
      <w:pPr>
        <w:pStyle w:val="Heading1"/>
        <w:rPr>
          <w:b/>
        </w:rPr>
      </w:pPr>
      <w:bookmarkStart w:id="0" w:name="_Toc186282399"/>
      <w:r>
        <w:rPr>
          <w:b/>
        </w:rPr>
        <w:lastRenderedPageBreak/>
        <w:t>TASK 2 Enhancing Supply Chain Sustainability</w:t>
      </w:r>
      <w:bookmarkEnd w:id="0"/>
    </w:p>
    <w:p w14:paraId="05E78323" w14:textId="77777777" w:rsidR="00612189" w:rsidRDefault="00612189" w:rsidP="00612189">
      <w:pPr>
        <w:pStyle w:val="Heading2"/>
      </w:pPr>
      <w:bookmarkStart w:id="1" w:name="_Toc186282400"/>
      <w:r>
        <w:rPr>
          <w:rStyle w:val="Strong"/>
        </w:rPr>
        <w:t>AI Answer (Critical Analysis)</w:t>
      </w:r>
      <w:bookmarkEnd w:id="1"/>
    </w:p>
    <w:p w14:paraId="69B8ADFA" w14:textId="77777777"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bookmarkStart w:id="2" w:name="_Toc186282401"/>
      <w:r w:rsidRPr="008E2FE5">
        <w:rPr>
          <w:rFonts w:ascii="Times New Roman" w:eastAsia="Times New Roman" w:hAnsi="Times New Roman"/>
          <w:sz w:val="24"/>
          <w:szCs w:val="24"/>
          <w:lang w:val="en-US"/>
        </w:rPr>
        <w:t xml:space="preserve">Supply chain sustainability is vital for operations management, necessitating the integration of environmental, social, and economic factors into logistics processes. The </w:t>
      </w:r>
      <w:proofErr w:type="spellStart"/>
      <w:r w:rsidRPr="008E2FE5">
        <w:rPr>
          <w:rFonts w:ascii="Times New Roman" w:eastAsia="Times New Roman" w:hAnsi="Times New Roman"/>
          <w:sz w:val="24"/>
          <w:szCs w:val="24"/>
          <w:lang w:val="en-US"/>
        </w:rPr>
        <w:t>GreenFox</w:t>
      </w:r>
      <w:proofErr w:type="spellEnd"/>
      <w:r w:rsidRPr="008E2FE5">
        <w:rPr>
          <w:rFonts w:ascii="Times New Roman" w:eastAsia="Times New Roman" w:hAnsi="Times New Roman"/>
          <w:sz w:val="24"/>
          <w:szCs w:val="24"/>
          <w:lang w:val="en-US"/>
        </w:rPr>
        <w:t xml:space="preserve"> program by Linfox highlights its dedication to minimizing environmental impact. However, challenges like supply chain efficiency and stakeholder resistance persist. Lean Management principles, such as reducing waste and streamlining processes, offer practical solutions. For example, optimizing transportation routes and enhancing warehouse layouts can notably decrease fuel consumption and operational inefficiencies.</w:t>
      </w:r>
    </w:p>
    <w:p w14:paraId="6CF74C46" w14:textId="77777777"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Stakeholder resistance, whether from suppliers or internal teams, often arises from the perceived complexity or costs associated with sustainability initiatives. Effective communication of the benefits, such as cost savings and enhanced brand reputation, is crucial to overcoming this resistance. Moreover, utilizing digital technologies like Snowflake for real-time tracking improves transparency and boosts stakeholder confidence.</w:t>
      </w:r>
    </w:p>
    <w:p w14:paraId="66360E51" w14:textId="77777777"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To successfully integrate sustainability into the supply chain, Linfox must establish clear metrics, including carbon emissions per shipment and energy usage in warehouses. These metrics allow continuous monitoring and provide data to inform decision-making, ensuring alignment with broader strategic goals.</w:t>
      </w:r>
    </w:p>
    <w:p w14:paraId="63AC5E12" w14:textId="77777777" w:rsidR="00612189" w:rsidRDefault="00612189" w:rsidP="00612189">
      <w:pPr>
        <w:pStyle w:val="Heading2"/>
        <w:rPr>
          <w:b/>
          <w:lang w:val="en-US"/>
        </w:rPr>
      </w:pPr>
      <w:r>
        <w:rPr>
          <w:b/>
          <w:lang w:val="en-US"/>
        </w:rPr>
        <w:t>Student Answer</w:t>
      </w:r>
      <w:bookmarkEnd w:id="2"/>
    </w:p>
    <w:p w14:paraId="66A1CD20" w14:textId="77777777" w:rsidR="00612189" w:rsidRDefault="00612189" w:rsidP="00612189">
      <w:pPr>
        <w:suppressAutoHyphens w:val="0"/>
        <w:spacing w:before="100" w:after="100" w:line="240" w:lineRule="auto"/>
        <w:textAlignment w:val="auto"/>
        <w:outlineLvl w:val="4"/>
        <w:rPr>
          <w:rFonts w:ascii="Times New Roman" w:eastAsia="Times New Roman" w:hAnsi="Times New Roman"/>
          <w:b/>
          <w:bCs/>
          <w:sz w:val="20"/>
          <w:szCs w:val="20"/>
          <w:lang w:val="en-US"/>
        </w:rPr>
      </w:pPr>
      <w:r>
        <w:rPr>
          <w:rFonts w:ascii="Times New Roman" w:eastAsia="Times New Roman" w:hAnsi="Times New Roman"/>
          <w:b/>
          <w:bCs/>
          <w:sz w:val="20"/>
          <w:szCs w:val="20"/>
          <w:lang w:val="en-US"/>
        </w:rPr>
        <w:t>Introduction</w:t>
      </w:r>
    </w:p>
    <w:p w14:paraId="5575F776" w14:textId="77777777" w:rsidR="004B1D16" w:rsidRDefault="00D000FA"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Organizations needs to adopt policies that encourage waste minimization, improvisation of efficiency and alignment with environmental and social objectives to enhance a sustainable supply chain. </w:t>
      </w:r>
      <w:r w:rsidR="00F106C6">
        <w:rPr>
          <w:rFonts w:ascii="Times New Roman" w:eastAsia="Times New Roman" w:hAnsi="Times New Roman"/>
          <w:sz w:val="20"/>
          <w:szCs w:val="20"/>
          <w:lang w:val="en-US"/>
        </w:rPr>
        <w:t xml:space="preserve">Sustainability for Linfox is not only </w:t>
      </w:r>
      <w:r w:rsidR="005856D9">
        <w:rPr>
          <w:rFonts w:ascii="Times New Roman" w:eastAsia="Times New Roman" w:hAnsi="Times New Roman"/>
          <w:sz w:val="20"/>
          <w:szCs w:val="20"/>
          <w:lang w:val="en-US"/>
        </w:rPr>
        <w:t xml:space="preserve">an operational goal but also a key imperative to its strategies. </w:t>
      </w:r>
      <w:r w:rsidR="00100D48">
        <w:rPr>
          <w:rFonts w:ascii="Times New Roman" w:eastAsia="Times New Roman" w:hAnsi="Times New Roman"/>
          <w:sz w:val="20"/>
          <w:szCs w:val="20"/>
          <w:lang w:val="en-US"/>
        </w:rPr>
        <w:t>Linfox can leverage fra</w:t>
      </w:r>
      <w:r w:rsidR="004B1D16">
        <w:rPr>
          <w:rFonts w:ascii="Times New Roman" w:eastAsia="Times New Roman" w:hAnsi="Times New Roman"/>
          <w:sz w:val="20"/>
          <w:szCs w:val="20"/>
          <w:lang w:val="en-US"/>
        </w:rPr>
        <w:t xml:space="preserve">meworks such as lean management and total quality management to optimize supply chain while addressing resistance from stakeholders.  </w:t>
      </w:r>
      <w:r w:rsidR="00100D48">
        <w:rPr>
          <w:rFonts w:ascii="Times New Roman" w:eastAsia="Times New Roman" w:hAnsi="Times New Roman"/>
          <w:sz w:val="20"/>
          <w:szCs w:val="20"/>
          <w:lang w:val="en-US"/>
        </w:rPr>
        <w:t xml:space="preserve"> </w:t>
      </w:r>
    </w:p>
    <w:p w14:paraId="4E2096E5" w14:textId="77777777" w:rsidR="004B1D16" w:rsidRDefault="004B1D16"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Application to Linfox logistics</w:t>
      </w:r>
    </w:p>
    <w:p w14:paraId="5BD00BC6" w14:textId="3B6A660B" w:rsidR="00EF6EAD" w:rsidRDefault="00B90474"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Adopting electric vehicles and installation of renewable energy systems demonstrates commitment by Linfox’s </w:t>
      </w:r>
      <w:proofErr w:type="spellStart"/>
      <w:r w:rsidR="00591AC3">
        <w:rPr>
          <w:rFonts w:ascii="Times New Roman" w:eastAsia="Times New Roman" w:hAnsi="Times New Roman"/>
          <w:sz w:val="20"/>
          <w:szCs w:val="20"/>
          <w:lang w:val="en-US"/>
        </w:rPr>
        <w:t>GreenFox</w:t>
      </w:r>
      <w:proofErr w:type="spellEnd"/>
      <w:r>
        <w:rPr>
          <w:rFonts w:ascii="Times New Roman" w:eastAsia="Times New Roman" w:hAnsi="Times New Roman"/>
          <w:sz w:val="20"/>
          <w:szCs w:val="20"/>
          <w:lang w:val="en-US"/>
        </w:rPr>
        <w:t xml:space="preserve"> initiative towards supply chain sustainability. Enhancing efficiency and minimizing waste can be achieved through further optimization. Applying lean management principles to streamline processes for example just-in-time operation and continuous improvement could be essential and of much significance. </w:t>
      </w:r>
      <w:r w:rsidR="00591AC3">
        <w:rPr>
          <w:rFonts w:ascii="Times New Roman" w:eastAsia="Times New Roman" w:hAnsi="Times New Roman"/>
          <w:sz w:val="20"/>
          <w:szCs w:val="20"/>
          <w:lang w:val="en-US"/>
        </w:rPr>
        <w:t xml:space="preserve">Real-time tracking to optimize delivery routes can also help to reduce fuel consumption and delivery times directly lowering emissions. </w:t>
      </w:r>
      <w:r>
        <w:rPr>
          <w:rFonts w:ascii="Times New Roman" w:eastAsia="Times New Roman" w:hAnsi="Times New Roman"/>
          <w:sz w:val="20"/>
          <w:szCs w:val="20"/>
          <w:lang w:val="en-US"/>
        </w:rPr>
        <w:t xml:space="preserve"> </w:t>
      </w:r>
    </w:p>
    <w:p w14:paraId="6622F5A5" w14:textId="4EED4858" w:rsidR="000926F8" w:rsidRDefault="000926F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Resistance from stakeholders particularly from suppliers poses a significant challenge. </w:t>
      </w:r>
      <w:r w:rsidR="00B2759A">
        <w:rPr>
          <w:rFonts w:ascii="Times New Roman" w:eastAsia="Times New Roman" w:hAnsi="Times New Roman"/>
          <w:sz w:val="20"/>
          <w:szCs w:val="20"/>
          <w:lang w:val="en-US"/>
        </w:rPr>
        <w:t xml:space="preserve">Resistance may arise when risks such as increased costs and operational disruptions. Collaborating with other </w:t>
      </w:r>
      <w:r w:rsidR="00C5551D">
        <w:rPr>
          <w:rFonts w:ascii="Times New Roman" w:eastAsia="Times New Roman" w:hAnsi="Times New Roman"/>
          <w:sz w:val="20"/>
          <w:szCs w:val="20"/>
          <w:lang w:val="en-US"/>
        </w:rPr>
        <w:t>suppliers</w:t>
      </w:r>
      <w:r w:rsidR="00B2759A">
        <w:rPr>
          <w:rFonts w:ascii="Times New Roman" w:eastAsia="Times New Roman" w:hAnsi="Times New Roman"/>
          <w:sz w:val="20"/>
          <w:szCs w:val="20"/>
          <w:lang w:val="en-US"/>
        </w:rPr>
        <w:t xml:space="preserve"> </w:t>
      </w:r>
      <w:r w:rsidR="00C5551D">
        <w:rPr>
          <w:rFonts w:ascii="Times New Roman" w:eastAsia="Times New Roman" w:hAnsi="Times New Roman"/>
          <w:sz w:val="20"/>
          <w:szCs w:val="20"/>
          <w:lang w:val="en-US"/>
        </w:rPr>
        <w:t xml:space="preserve">can help Linfox to address these challenges for example incentives like cost sharing for adoption of greener practices. The company can enlighten its suppliers with sustainability goals through programs such as training workshops enabling Linfox to foster shared vision. </w:t>
      </w:r>
    </w:p>
    <w:p w14:paraId="324F62A3" w14:textId="6F07AD6C" w:rsidR="00C5551D" w:rsidRDefault="00C27FFD"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Transparency in supply chain can be improved through digital tools like snowflake. Snowflake provides real-time data on shipment and warehouse operations therefore Linfox can identify inefficiencies and adjust processes dynamically. By </w:t>
      </w:r>
      <w:proofErr w:type="spellStart"/>
      <w:r>
        <w:rPr>
          <w:rFonts w:ascii="Times New Roman" w:eastAsia="Times New Roman" w:hAnsi="Times New Roman"/>
          <w:sz w:val="20"/>
          <w:szCs w:val="20"/>
          <w:lang w:val="en-US"/>
        </w:rPr>
        <w:t>intergrating</w:t>
      </w:r>
      <w:proofErr w:type="spellEnd"/>
      <w:r>
        <w:rPr>
          <w:rFonts w:ascii="Times New Roman" w:eastAsia="Times New Roman" w:hAnsi="Times New Roman"/>
          <w:sz w:val="20"/>
          <w:szCs w:val="20"/>
          <w:lang w:val="en-US"/>
        </w:rPr>
        <w:t xml:space="preserve"> digital tools Linfox can attain sustainability goals</w:t>
      </w:r>
      <w:r w:rsidR="003D5738">
        <w:rPr>
          <w:rFonts w:ascii="Times New Roman" w:eastAsia="Times New Roman" w:hAnsi="Times New Roman"/>
          <w:sz w:val="20"/>
          <w:szCs w:val="20"/>
          <w:lang w:val="en-US"/>
        </w:rPr>
        <w:t xml:space="preserve"> which enhances reliability and responsiveness which enhances customer satisfaction. </w:t>
      </w:r>
    </w:p>
    <w:p w14:paraId="30BA243F" w14:textId="05F4E66A" w:rsidR="003D5738" w:rsidRDefault="003D573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Evaluation and recommendation</w:t>
      </w:r>
    </w:p>
    <w:p w14:paraId="481408DB" w14:textId="20D41A3D" w:rsidR="003D5738" w:rsidRDefault="003D573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To overcome challenges Linfox must adopt a multiple prolonged approach and to achieve sustainability of the supply chain. Tangible benefits shown on pilot program encourage broader adoption by optimizing on route and </w:t>
      </w:r>
      <w:r w:rsidR="00236FFD">
        <w:rPr>
          <w:rFonts w:ascii="Times New Roman" w:eastAsia="Times New Roman" w:hAnsi="Times New Roman"/>
          <w:sz w:val="20"/>
          <w:szCs w:val="20"/>
          <w:lang w:val="en-US"/>
        </w:rPr>
        <w:t xml:space="preserve">energy efficiency of the warehouse. Continuous monitoring and improvement can also be done by establishing key performance indicators such as carbon emissions per shipment or energy use per warehouse. Joint </w:t>
      </w:r>
      <w:r w:rsidR="00236FFD">
        <w:rPr>
          <w:rFonts w:ascii="Times New Roman" w:eastAsia="Times New Roman" w:hAnsi="Times New Roman"/>
          <w:sz w:val="20"/>
          <w:szCs w:val="20"/>
          <w:lang w:val="en-US"/>
        </w:rPr>
        <w:lastRenderedPageBreak/>
        <w:t xml:space="preserve">sustainability initiatives </w:t>
      </w:r>
      <w:proofErr w:type="gramStart"/>
      <w:r w:rsidR="00236FFD">
        <w:rPr>
          <w:rFonts w:ascii="Times New Roman" w:eastAsia="Times New Roman" w:hAnsi="Times New Roman"/>
          <w:sz w:val="20"/>
          <w:szCs w:val="20"/>
          <w:lang w:val="en-US"/>
        </w:rPr>
        <w:t>is</w:t>
      </w:r>
      <w:proofErr w:type="gramEnd"/>
      <w:r w:rsidR="00236FFD">
        <w:rPr>
          <w:rFonts w:ascii="Times New Roman" w:eastAsia="Times New Roman" w:hAnsi="Times New Roman"/>
          <w:sz w:val="20"/>
          <w:szCs w:val="20"/>
          <w:lang w:val="en-US"/>
        </w:rPr>
        <w:t xml:space="preserve"> also essential for Linfox to strengthen supplier relationship and this can help enhance mutual benefits. </w:t>
      </w:r>
    </w:p>
    <w:p w14:paraId="2FA9841C" w14:textId="77777777" w:rsidR="00A52546" w:rsidRDefault="00247DCF"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Fostering a culture of innovation and sustainability can help mitigate resistance from internal stakeholders. Motivating employees through employee engagement programs for example </w:t>
      </w:r>
      <w:proofErr w:type="spellStart"/>
      <w:r>
        <w:rPr>
          <w:rFonts w:ascii="Times New Roman" w:eastAsia="Times New Roman" w:hAnsi="Times New Roman"/>
          <w:sz w:val="20"/>
          <w:szCs w:val="20"/>
          <w:lang w:val="en-US"/>
        </w:rPr>
        <w:t>gamifyng</w:t>
      </w:r>
      <w:proofErr w:type="spellEnd"/>
      <w:r>
        <w:rPr>
          <w:rFonts w:ascii="Times New Roman" w:eastAsia="Times New Roman" w:hAnsi="Times New Roman"/>
          <w:sz w:val="20"/>
          <w:szCs w:val="20"/>
          <w:lang w:val="en-US"/>
        </w:rPr>
        <w:t xml:space="preserve"> eco-friendly practices </w:t>
      </w:r>
      <w:r w:rsidR="00A52546">
        <w:rPr>
          <w:rFonts w:ascii="Times New Roman" w:eastAsia="Times New Roman" w:hAnsi="Times New Roman"/>
          <w:sz w:val="20"/>
          <w:szCs w:val="20"/>
          <w:lang w:val="en-US"/>
        </w:rPr>
        <w:t>can encourage them embrace sustainability as a core value. Prioritizing projects that leads to quick returns can help build momentum for more extensive initiatives for example transitioning to LED lights in warehouses.</w:t>
      </w:r>
    </w:p>
    <w:p w14:paraId="672ABD27" w14:textId="77777777" w:rsidR="00A52546" w:rsidRDefault="00A52546"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Conclusion</w:t>
      </w:r>
    </w:p>
    <w:p w14:paraId="77CBD8F7" w14:textId="4B80D03B" w:rsidR="00236FFD" w:rsidRDefault="00A52546"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Strategic planning, collaboration and innovation are crucial in enhancing supply chain sustainability. Linfox can overcome challenges facing efforts made when promoting sustainability of the supply chain by </w:t>
      </w:r>
      <w:r w:rsidR="00C60827">
        <w:rPr>
          <w:rFonts w:ascii="Times New Roman" w:eastAsia="Times New Roman" w:hAnsi="Times New Roman"/>
          <w:sz w:val="20"/>
          <w:szCs w:val="20"/>
          <w:lang w:val="en-US"/>
        </w:rPr>
        <w:t>leveraging</w:t>
      </w:r>
      <w:r>
        <w:rPr>
          <w:rFonts w:ascii="Times New Roman" w:eastAsia="Times New Roman" w:hAnsi="Times New Roman"/>
          <w:sz w:val="20"/>
          <w:szCs w:val="20"/>
          <w:lang w:val="en-US"/>
        </w:rPr>
        <w:t xml:space="preserve"> digital tools and stakeholder engagement into their strategies.  </w:t>
      </w:r>
    </w:p>
    <w:p w14:paraId="1781C441" w14:textId="299F337E" w:rsidR="00A52546" w:rsidRDefault="00A52546"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Comparison </w:t>
      </w:r>
    </w:p>
    <w:p w14:paraId="6EC381FD" w14:textId="7E53CD04" w:rsidR="00591AC3" w:rsidRPr="00D000FA" w:rsidRDefault="00A52546"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AI highlights </w:t>
      </w:r>
      <w:r w:rsidR="00C60827">
        <w:rPr>
          <w:rFonts w:ascii="Times New Roman" w:eastAsia="Times New Roman" w:hAnsi="Times New Roman"/>
          <w:sz w:val="20"/>
          <w:szCs w:val="20"/>
          <w:lang w:val="en-US"/>
        </w:rPr>
        <w:t xml:space="preserve">key principles such as lean management and digital tools but does not fully address the specific implementation strategies for Linfox. My analysis provides actionable steps tailored towards solving Linfox unique challenges for example pilot programs, supplier initiatives and employee engagement initiatives. The analysis provides an added depth that ensures practical application of the concepts to Linfox’s operation.   </w:t>
      </w:r>
    </w:p>
    <w:p w14:paraId="31BCB70F" w14:textId="77777777" w:rsidR="00612189" w:rsidRDefault="00612189" w:rsidP="00612189">
      <w:pPr>
        <w:pStyle w:val="Heading1"/>
        <w:rPr>
          <w:b/>
        </w:rPr>
      </w:pPr>
      <w:bookmarkStart w:id="3" w:name="_Toc186282403"/>
      <w:r>
        <w:rPr>
          <w:b/>
        </w:rPr>
        <w:t>TASK 3 Global-Local Strategy Integration</w:t>
      </w:r>
      <w:bookmarkEnd w:id="3"/>
    </w:p>
    <w:p w14:paraId="2FC77CD6" w14:textId="77777777" w:rsidR="00612189" w:rsidRDefault="00612189" w:rsidP="00612189">
      <w:pPr>
        <w:pStyle w:val="Heading2"/>
        <w:rPr>
          <w:b/>
          <w:lang w:val="en-US"/>
        </w:rPr>
      </w:pPr>
      <w:bookmarkStart w:id="4" w:name="_Toc186282404"/>
      <w:r>
        <w:rPr>
          <w:b/>
          <w:lang w:val="en-US"/>
        </w:rPr>
        <w:t>AI Answer (Critical Analysis)</w:t>
      </w:r>
      <w:bookmarkEnd w:id="4"/>
    </w:p>
    <w:p w14:paraId="711F70F3" w14:textId="77777777"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Integrating global sustainability practices into local contexts necessitates a balance between standardization and flexibility. Hofstede’s cultural dimensions framework offers insights into tailoring strategies to align with local cultural, regulatory, and economic factors. For example, individualistic cultures might prioritize personal incentives, whereas collectivist societies may respond more positively to community-focused initiatives.</w:t>
      </w:r>
    </w:p>
    <w:p w14:paraId="7F4168D2" w14:textId="4320C032" w:rsidR="00E17A03"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Linfox can adopt a hybrid strategy that standardizes core sustainability practices, such as carbon neutrality goals, while customizing specific initiatives for local markets. Collaborating with local governments and communities ensures compliance with regulatory requirements and enhances credibility. Regular evaluations of cultural and economic dynamics are essential for refining these practices and maintaining the effectiveness of Linfox’s global strategy.</w:t>
      </w:r>
    </w:p>
    <w:p w14:paraId="599CE194" w14:textId="77777777" w:rsidR="00612189" w:rsidRDefault="00612189" w:rsidP="00612189">
      <w:pPr>
        <w:pStyle w:val="Heading2"/>
        <w:rPr>
          <w:b/>
          <w:lang w:val="en-US"/>
        </w:rPr>
      </w:pPr>
      <w:bookmarkStart w:id="5" w:name="_Toc186282405"/>
      <w:r>
        <w:rPr>
          <w:b/>
          <w:lang w:val="en-US"/>
        </w:rPr>
        <w:t>Student Answer</w:t>
      </w:r>
      <w:bookmarkEnd w:id="5"/>
    </w:p>
    <w:p w14:paraId="7286D2B0" w14:textId="77777777" w:rsidR="00612189" w:rsidRDefault="00612189" w:rsidP="00612189">
      <w:pPr>
        <w:suppressAutoHyphens w:val="0"/>
        <w:spacing w:before="100" w:after="100" w:line="240" w:lineRule="auto"/>
        <w:textAlignment w:val="auto"/>
        <w:outlineLvl w:val="4"/>
        <w:rPr>
          <w:rFonts w:ascii="Times New Roman" w:eastAsia="Times New Roman" w:hAnsi="Times New Roman"/>
          <w:b/>
          <w:bCs/>
          <w:sz w:val="20"/>
          <w:szCs w:val="20"/>
          <w:lang w:val="en-US"/>
        </w:rPr>
      </w:pPr>
      <w:r>
        <w:rPr>
          <w:rFonts w:ascii="Times New Roman" w:eastAsia="Times New Roman" w:hAnsi="Times New Roman"/>
          <w:b/>
          <w:bCs/>
          <w:sz w:val="20"/>
          <w:szCs w:val="20"/>
          <w:lang w:val="en-US"/>
        </w:rPr>
        <w:t>Introduction</w:t>
      </w:r>
    </w:p>
    <w:p w14:paraId="73A43A8F" w14:textId="29B4AA7E" w:rsidR="00E17A03" w:rsidRPr="00E17A03" w:rsidRDefault="00715DF0"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Applying global sustainability </w:t>
      </w:r>
      <w:r w:rsidRPr="00715DF0">
        <w:rPr>
          <w:rFonts w:ascii="Times New Roman" w:eastAsia="Times New Roman" w:hAnsi="Times New Roman"/>
          <w:sz w:val="20"/>
          <w:szCs w:val="20"/>
          <w:u w:val="single"/>
          <w:lang w:val="en-US"/>
        </w:rPr>
        <w:t>strategies</w:t>
      </w:r>
      <w:r>
        <w:rPr>
          <w:rFonts w:ascii="Times New Roman" w:eastAsia="Times New Roman" w:hAnsi="Times New Roman"/>
          <w:sz w:val="20"/>
          <w:szCs w:val="20"/>
          <w:lang w:val="en-US"/>
        </w:rPr>
        <w:t xml:space="preserve"> in diverse local markets is often associated with challenges. Cultural variations, government regulation and levels of economic development require a nuanced approach. Theories like the </w:t>
      </w:r>
      <w:proofErr w:type="spellStart"/>
      <w:r>
        <w:rPr>
          <w:rFonts w:ascii="Times New Roman" w:eastAsia="Times New Roman" w:hAnsi="Times New Roman"/>
          <w:sz w:val="20"/>
          <w:szCs w:val="20"/>
          <w:lang w:val="en-US"/>
        </w:rPr>
        <w:t>hofstedes</w:t>
      </w:r>
      <w:proofErr w:type="spellEnd"/>
      <w:r>
        <w:rPr>
          <w:rFonts w:ascii="Times New Roman" w:eastAsia="Times New Roman" w:hAnsi="Times New Roman"/>
          <w:sz w:val="20"/>
          <w:szCs w:val="20"/>
          <w:lang w:val="en-US"/>
        </w:rPr>
        <w:t xml:space="preserve"> cultural dimension and institutional theory provide guidance to various organizations on better ways and approaches to finding balance between maintenance of global standards and local adaptability. </w:t>
      </w:r>
    </w:p>
    <w:p w14:paraId="73261D2A" w14:textId="77777777" w:rsidR="00612189" w:rsidRDefault="00612189" w:rsidP="00612189">
      <w:pPr>
        <w:suppressAutoHyphens w:val="0"/>
        <w:spacing w:before="100" w:after="100" w:line="240" w:lineRule="auto"/>
        <w:textAlignment w:val="auto"/>
        <w:outlineLvl w:val="4"/>
        <w:rPr>
          <w:rFonts w:ascii="Times New Roman" w:eastAsia="Times New Roman" w:hAnsi="Times New Roman"/>
          <w:b/>
          <w:bCs/>
          <w:sz w:val="20"/>
          <w:szCs w:val="20"/>
          <w:lang w:val="en-US"/>
        </w:rPr>
      </w:pPr>
      <w:r>
        <w:rPr>
          <w:rFonts w:ascii="Times New Roman" w:eastAsia="Times New Roman" w:hAnsi="Times New Roman"/>
          <w:b/>
          <w:bCs/>
          <w:sz w:val="20"/>
          <w:szCs w:val="20"/>
          <w:lang w:val="en-US"/>
        </w:rPr>
        <w:t>Application to Linfox Logistics</w:t>
      </w:r>
    </w:p>
    <w:p w14:paraId="344C278C" w14:textId="53E3AB66" w:rsidR="00F01C40" w:rsidRDefault="00131DB7"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Linfox operates in </w:t>
      </w:r>
      <w:r w:rsidR="00372323">
        <w:rPr>
          <w:rFonts w:ascii="Times New Roman" w:eastAsia="Times New Roman" w:hAnsi="Times New Roman"/>
          <w:sz w:val="20"/>
          <w:szCs w:val="20"/>
          <w:lang w:val="en-US"/>
        </w:rPr>
        <w:t xml:space="preserve">multiple regions with distinct cultural and with different regulations. Implementation of </w:t>
      </w:r>
      <w:proofErr w:type="spellStart"/>
      <w:r w:rsidR="00372323">
        <w:rPr>
          <w:rFonts w:ascii="Times New Roman" w:eastAsia="Times New Roman" w:hAnsi="Times New Roman"/>
          <w:sz w:val="20"/>
          <w:szCs w:val="20"/>
          <w:lang w:val="en-US"/>
        </w:rPr>
        <w:t>greenfox</w:t>
      </w:r>
      <w:proofErr w:type="spellEnd"/>
      <w:r w:rsidR="00372323">
        <w:rPr>
          <w:rFonts w:ascii="Times New Roman" w:eastAsia="Times New Roman" w:hAnsi="Times New Roman"/>
          <w:sz w:val="20"/>
          <w:szCs w:val="20"/>
          <w:lang w:val="en-US"/>
        </w:rPr>
        <w:t xml:space="preserve"> program can be done easily by the Linfox especially in develop countries where the market is under stringent environmental regulations. For instance, adoption of electric vehicles and renewable energy systems. </w:t>
      </w:r>
      <w:r w:rsidR="00617448">
        <w:rPr>
          <w:rFonts w:ascii="Times New Roman" w:eastAsia="Times New Roman" w:hAnsi="Times New Roman"/>
          <w:sz w:val="20"/>
          <w:szCs w:val="20"/>
          <w:lang w:val="en-US"/>
        </w:rPr>
        <w:t xml:space="preserve">In developing countries where resources and infrastructural facilities are </w:t>
      </w:r>
      <w:proofErr w:type="gramStart"/>
      <w:r w:rsidR="00617448">
        <w:rPr>
          <w:rFonts w:ascii="Times New Roman" w:eastAsia="Times New Roman" w:hAnsi="Times New Roman"/>
          <w:sz w:val="20"/>
          <w:szCs w:val="20"/>
          <w:lang w:val="en-US"/>
        </w:rPr>
        <w:t>limited</w:t>
      </w:r>
      <w:proofErr w:type="gramEnd"/>
      <w:r w:rsidR="00617448">
        <w:rPr>
          <w:rFonts w:ascii="Times New Roman" w:eastAsia="Times New Roman" w:hAnsi="Times New Roman"/>
          <w:sz w:val="20"/>
          <w:szCs w:val="20"/>
          <w:lang w:val="en-US"/>
        </w:rPr>
        <w:t xml:space="preserve"> they implement solutions that are intermediate for example using hybrid vehicles, and fuel efficient driving practices are implemented. </w:t>
      </w:r>
    </w:p>
    <w:p w14:paraId="2B200C98" w14:textId="69E07545" w:rsidR="00617448" w:rsidRDefault="0061744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Cultural differences influenced p</w:t>
      </w:r>
      <w:r w:rsidR="00FB7C61">
        <w:rPr>
          <w:rFonts w:ascii="Times New Roman" w:eastAsia="Times New Roman" w:hAnsi="Times New Roman"/>
          <w:sz w:val="20"/>
          <w:szCs w:val="20"/>
          <w:lang w:val="en-US"/>
        </w:rPr>
        <w:t xml:space="preserve">erception on sustainability initiatives. Benefits such as reduced air pollution or creation of jobs through projects such as greenspace are significant </w:t>
      </w:r>
      <w:proofErr w:type="gramStart"/>
      <w:r w:rsidR="00FB7C61">
        <w:rPr>
          <w:rFonts w:ascii="Times New Roman" w:eastAsia="Times New Roman" w:hAnsi="Times New Roman"/>
          <w:sz w:val="20"/>
          <w:szCs w:val="20"/>
          <w:lang w:val="en-US"/>
        </w:rPr>
        <w:t>especially</w:t>
      </w:r>
      <w:proofErr w:type="gramEnd"/>
      <w:r w:rsidR="00FB7C61">
        <w:rPr>
          <w:rFonts w:ascii="Times New Roman" w:eastAsia="Times New Roman" w:hAnsi="Times New Roman"/>
          <w:sz w:val="20"/>
          <w:szCs w:val="20"/>
          <w:lang w:val="en-US"/>
        </w:rPr>
        <w:t xml:space="preserve"> to cultures that value collectivism and these efforts can be very impactful. Trust can be further enhanced by partnering with local </w:t>
      </w:r>
      <w:r w:rsidR="007D5DF9">
        <w:rPr>
          <w:rFonts w:ascii="Times New Roman" w:eastAsia="Times New Roman" w:hAnsi="Times New Roman"/>
          <w:sz w:val="20"/>
          <w:szCs w:val="20"/>
          <w:lang w:val="en-US"/>
        </w:rPr>
        <w:t xml:space="preserve">community organizations and this can create a more engaging environment. </w:t>
      </w:r>
    </w:p>
    <w:p w14:paraId="0A0A9869" w14:textId="254E3DB2" w:rsidR="007D5DF9" w:rsidRDefault="007D5DF9"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Regulatory environments play an important role in shaping strategies. By engaging with local governments Linfox can ensure compliance with the regulations while advocating for supportive policies. </w:t>
      </w:r>
      <w:r w:rsidR="000E3437">
        <w:rPr>
          <w:rFonts w:ascii="Times New Roman" w:eastAsia="Times New Roman" w:hAnsi="Times New Roman"/>
          <w:sz w:val="20"/>
          <w:szCs w:val="20"/>
          <w:lang w:val="en-US"/>
        </w:rPr>
        <w:t xml:space="preserve">They can </w:t>
      </w:r>
      <w:r w:rsidR="000E3437">
        <w:rPr>
          <w:rFonts w:ascii="Times New Roman" w:eastAsia="Times New Roman" w:hAnsi="Times New Roman"/>
          <w:sz w:val="20"/>
          <w:szCs w:val="20"/>
          <w:lang w:val="en-US"/>
        </w:rPr>
        <w:lastRenderedPageBreak/>
        <w:t xml:space="preserve">incentivize taxes for installation of renewable energies and this can help reduce costs which can accelerate adoption. </w:t>
      </w:r>
    </w:p>
    <w:p w14:paraId="6430580E" w14:textId="2AEF8E94" w:rsidR="000E3437" w:rsidRDefault="000E3437"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Evaluation and recommendation</w:t>
      </w:r>
    </w:p>
    <w:p w14:paraId="2B029571" w14:textId="7D3152BC" w:rsidR="000E3437" w:rsidRDefault="000E3437"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To ensure sustainable and efficient initiatives Linfox should merge global standards with </w:t>
      </w:r>
      <w:r w:rsidR="00CB364D">
        <w:rPr>
          <w:rFonts w:ascii="Times New Roman" w:eastAsia="Times New Roman" w:hAnsi="Times New Roman"/>
          <w:sz w:val="20"/>
          <w:szCs w:val="20"/>
          <w:lang w:val="en-US"/>
        </w:rPr>
        <w:t xml:space="preserve">local adaptations. Linfox can further employ regional teams to manage local implementation to help in addressing specific cultural and regulatory challenges. Insights gained from the feedback provided by the stakeholders is significant in enhancing continuous improvements. </w:t>
      </w:r>
    </w:p>
    <w:p w14:paraId="77CC6AA9" w14:textId="21FCE806" w:rsidR="00CB364D" w:rsidRDefault="00CB364D"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Conclusion</w:t>
      </w:r>
    </w:p>
    <w:p w14:paraId="79127AF7" w14:textId="124386E7" w:rsidR="00CB364D" w:rsidRDefault="00CB364D"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Flexibility, collaboration and cultural sensitivity is very crucial while balancing global and local strategies. The ability to adapt sustainable practices to ensure effectiveness across diverse markets enables Linfox to maintain its alignment with global vision.</w:t>
      </w:r>
    </w:p>
    <w:p w14:paraId="7E4FC78A" w14:textId="08AF6B00" w:rsidR="00CB364D" w:rsidRDefault="00CB364D"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Comparison</w:t>
      </w:r>
    </w:p>
    <w:p w14:paraId="0D61C5A2" w14:textId="14A24968" w:rsidR="00CB364D" w:rsidRDefault="00CB364D"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AI analysis highlights the </w:t>
      </w:r>
      <w:r w:rsidR="00EF6EAD">
        <w:rPr>
          <w:rFonts w:ascii="Times New Roman" w:eastAsia="Times New Roman" w:hAnsi="Times New Roman"/>
          <w:sz w:val="20"/>
          <w:szCs w:val="20"/>
          <w:lang w:val="en-US"/>
        </w:rPr>
        <w:t xml:space="preserve">key frameworks and the importance of balancing standard approaches with local flexibility. My analysis builds on this through application of concepts to the operations of Linfox offering solutions such as regional teams and community partnerships for local engagement. </w:t>
      </w:r>
    </w:p>
    <w:p w14:paraId="20334649" w14:textId="77777777" w:rsidR="00EF6EAD" w:rsidRDefault="00EF6EAD" w:rsidP="00612189">
      <w:pPr>
        <w:suppressAutoHyphens w:val="0"/>
        <w:spacing w:before="100" w:after="100" w:line="240" w:lineRule="auto"/>
        <w:textAlignment w:val="auto"/>
        <w:outlineLvl w:val="4"/>
        <w:rPr>
          <w:rFonts w:ascii="Times New Roman" w:eastAsia="Times New Roman" w:hAnsi="Times New Roman"/>
          <w:sz w:val="20"/>
          <w:szCs w:val="20"/>
          <w:lang w:val="en-US"/>
        </w:rPr>
      </w:pPr>
    </w:p>
    <w:p w14:paraId="52751900" w14:textId="77777777" w:rsidR="00612189" w:rsidRDefault="00612189" w:rsidP="00612189">
      <w:pPr>
        <w:pStyle w:val="Heading1"/>
        <w:rPr>
          <w:b/>
        </w:rPr>
      </w:pPr>
      <w:bookmarkStart w:id="6" w:name="_Toc186282407"/>
      <w:r>
        <w:rPr>
          <w:b/>
        </w:rPr>
        <w:t>TASK 4: Systemic Risks in Digital Transformation</w:t>
      </w:r>
      <w:bookmarkEnd w:id="6"/>
    </w:p>
    <w:p w14:paraId="714CF6B4" w14:textId="4D589F1E" w:rsidR="00612189" w:rsidRDefault="00612189" w:rsidP="00612189">
      <w:pPr>
        <w:pStyle w:val="Heading2"/>
        <w:rPr>
          <w:b/>
          <w:lang w:val="en-US"/>
        </w:rPr>
      </w:pPr>
      <w:bookmarkStart w:id="7" w:name="_Toc186282408"/>
      <w:r>
        <w:rPr>
          <w:b/>
          <w:lang w:val="en-US"/>
        </w:rPr>
        <w:t>AI Answer (Critical Analysis)</w:t>
      </w:r>
      <w:bookmarkEnd w:id="7"/>
    </w:p>
    <w:p w14:paraId="023522C1" w14:textId="77777777"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 xml:space="preserve">Digital transformation brings opportunities for efficiency and innovation but also introduces systemic risks such as cybersecurity threats, technological obsolescence, and data privacy concerns. For Linfox, integrating digital tools such as Snowflake and </w:t>
      </w:r>
      <w:proofErr w:type="spellStart"/>
      <w:r w:rsidRPr="008E2FE5">
        <w:rPr>
          <w:rFonts w:ascii="Times New Roman" w:eastAsia="Times New Roman" w:hAnsi="Times New Roman"/>
          <w:sz w:val="24"/>
          <w:szCs w:val="24"/>
          <w:lang w:val="en-US"/>
        </w:rPr>
        <w:t>BevChain</w:t>
      </w:r>
      <w:proofErr w:type="spellEnd"/>
      <w:r w:rsidRPr="008E2FE5">
        <w:rPr>
          <w:rFonts w:ascii="Times New Roman" w:eastAsia="Times New Roman" w:hAnsi="Times New Roman"/>
          <w:sz w:val="24"/>
          <w:szCs w:val="24"/>
          <w:lang w:val="en-US"/>
        </w:rPr>
        <w:t xml:space="preserve"> enhances real-time monitoring and operational transparency. However, these advancements increase vulnerability to cyberattacks and compliance challenges.</w:t>
      </w:r>
    </w:p>
    <w:p w14:paraId="5BDD3390" w14:textId="6C749411"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A comprehensive risk mitigation framework includes regular system audits, advanced encryption protocols, and continuous staff training on data privacy practices. Additionally, proactive technology management, including partnerships with tech providers, ensures that systems remain updated and effective. By addressing these risks, Linfox can align its digital transformation with its long-term sustainability goals.</w:t>
      </w:r>
    </w:p>
    <w:p w14:paraId="70CAA2F5" w14:textId="77777777" w:rsidR="00612189" w:rsidRDefault="00612189" w:rsidP="00612189">
      <w:pPr>
        <w:pStyle w:val="Heading2"/>
        <w:rPr>
          <w:b/>
          <w:lang w:val="en-US"/>
        </w:rPr>
      </w:pPr>
      <w:bookmarkStart w:id="8" w:name="_Toc186282409"/>
      <w:r>
        <w:rPr>
          <w:b/>
          <w:lang w:val="en-US"/>
        </w:rPr>
        <w:t>Student Answer</w:t>
      </w:r>
      <w:bookmarkEnd w:id="8"/>
    </w:p>
    <w:p w14:paraId="28DA8CDD" w14:textId="77777777" w:rsidR="00612189" w:rsidRDefault="00612189" w:rsidP="00612189">
      <w:pPr>
        <w:suppressAutoHyphens w:val="0"/>
        <w:spacing w:before="100" w:after="100" w:line="240" w:lineRule="auto"/>
        <w:textAlignment w:val="auto"/>
        <w:outlineLvl w:val="4"/>
        <w:rPr>
          <w:rFonts w:ascii="Times New Roman" w:eastAsia="Times New Roman" w:hAnsi="Times New Roman"/>
          <w:b/>
          <w:bCs/>
          <w:sz w:val="20"/>
          <w:szCs w:val="20"/>
          <w:lang w:val="en-US"/>
        </w:rPr>
      </w:pPr>
      <w:r>
        <w:rPr>
          <w:rFonts w:ascii="Times New Roman" w:eastAsia="Times New Roman" w:hAnsi="Times New Roman"/>
          <w:b/>
          <w:bCs/>
          <w:sz w:val="20"/>
          <w:szCs w:val="20"/>
          <w:lang w:val="en-US"/>
        </w:rPr>
        <w:t>Introduction</w:t>
      </w:r>
    </w:p>
    <w:p w14:paraId="3A487F3E" w14:textId="2A21D4C5" w:rsidR="00C60827" w:rsidRDefault="000F16F4"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digital transformation can be used to enhance efficiency of operations and sustainability. Systematic risks such may occur due to exposure created by the using advanced tools like </w:t>
      </w:r>
      <w:proofErr w:type="spellStart"/>
      <w:r>
        <w:rPr>
          <w:rFonts w:ascii="Times New Roman" w:eastAsia="Times New Roman" w:hAnsi="Times New Roman"/>
          <w:sz w:val="20"/>
          <w:szCs w:val="20"/>
          <w:lang w:val="en-US"/>
        </w:rPr>
        <w:t>BevChain</w:t>
      </w:r>
      <w:proofErr w:type="spellEnd"/>
      <w:r>
        <w:rPr>
          <w:rFonts w:ascii="Times New Roman" w:eastAsia="Times New Roman" w:hAnsi="Times New Roman"/>
          <w:sz w:val="20"/>
          <w:szCs w:val="20"/>
          <w:lang w:val="en-US"/>
        </w:rPr>
        <w:t xml:space="preserve"> and snowflake for example data breaches technological obsole</w:t>
      </w:r>
      <w:r w:rsidR="000D1CBB">
        <w:rPr>
          <w:rFonts w:ascii="Times New Roman" w:eastAsia="Times New Roman" w:hAnsi="Times New Roman"/>
          <w:sz w:val="20"/>
          <w:szCs w:val="20"/>
          <w:lang w:val="en-US"/>
        </w:rPr>
        <w:t xml:space="preserve">scence and cybersecurity. These risks can undermine sustainability goals and damage credibility of the organization if they are left unmitigated. </w:t>
      </w:r>
    </w:p>
    <w:p w14:paraId="7A1967B4" w14:textId="0988C2EC" w:rsidR="000D1CBB" w:rsidRDefault="000D1CBB"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Application to Linfox logistics</w:t>
      </w:r>
    </w:p>
    <w:p w14:paraId="4DAE9F2E" w14:textId="458965C0" w:rsidR="000D1CBB" w:rsidRDefault="000D1CBB"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Snowflake tools for real-time data tracking and </w:t>
      </w:r>
      <w:proofErr w:type="spellStart"/>
      <w:r>
        <w:rPr>
          <w:rFonts w:ascii="Times New Roman" w:eastAsia="Times New Roman" w:hAnsi="Times New Roman"/>
          <w:sz w:val="20"/>
          <w:szCs w:val="20"/>
          <w:lang w:val="en-US"/>
        </w:rPr>
        <w:t>BevChain</w:t>
      </w:r>
      <w:proofErr w:type="spellEnd"/>
      <w:r>
        <w:rPr>
          <w:rFonts w:ascii="Times New Roman" w:eastAsia="Times New Roman" w:hAnsi="Times New Roman"/>
          <w:sz w:val="20"/>
          <w:szCs w:val="20"/>
          <w:lang w:val="en-US"/>
        </w:rPr>
        <w:t xml:space="preserve"> for warehouse automation are some of the digital transformation’s strategies used by Linfox. Despite the benefits associated with </w:t>
      </w:r>
      <w:r w:rsidR="005F7B6F">
        <w:rPr>
          <w:rFonts w:ascii="Times New Roman" w:eastAsia="Times New Roman" w:hAnsi="Times New Roman"/>
          <w:sz w:val="20"/>
          <w:szCs w:val="20"/>
          <w:lang w:val="en-US"/>
        </w:rPr>
        <w:t xml:space="preserve">systems like sustainability and efficiency they can pose challenges and vulnerabilities. Sensitive operational data can get exposed when external servers feeding information to cloud based systems like snowflake. Overdependence on technology can pose another problem which can increase the chances of potential systems failures for example automation of warehouses. </w:t>
      </w:r>
    </w:p>
    <w:p w14:paraId="0CFF637E" w14:textId="251ED4AE" w:rsidR="005F7B6F" w:rsidRDefault="00157BF3"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Multi-layered strategies can be implemented that can be implemented to address these challenges include advanced data encryption and systems that can detect suspicious intrusions. To reduce risks of regulatory breaches, Linfox </w:t>
      </w:r>
      <w:r w:rsidR="0017763F">
        <w:rPr>
          <w:rFonts w:ascii="Times New Roman" w:eastAsia="Times New Roman" w:hAnsi="Times New Roman"/>
          <w:sz w:val="20"/>
          <w:szCs w:val="20"/>
          <w:lang w:val="en-US"/>
        </w:rPr>
        <w:t xml:space="preserve">can conduct regular audits of digital infrastructure ensuring compliance with global data privacy standards. Linfox can also ensure they stay ahead of technological advancements by partnering with technological providers to ensure efficiency of the systems. </w:t>
      </w:r>
    </w:p>
    <w:p w14:paraId="4DFA8C5E" w14:textId="06334529" w:rsidR="0017763F" w:rsidRDefault="0017763F"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lastRenderedPageBreak/>
        <w:t xml:space="preserve">Another critical component of mitigating the risks is training of employees. Establishment of workshops to enlighten the employees on cybersecurity and data privacy empowers the staff to recognize and respond to threats. Contingency plans can be introduced to minimize the disruptions occurring in the event of </w:t>
      </w:r>
      <w:r w:rsidR="00D06E92">
        <w:rPr>
          <w:rFonts w:ascii="Times New Roman" w:eastAsia="Times New Roman" w:hAnsi="Times New Roman"/>
          <w:sz w:val="20"/>
          <w:szCs w:val="20"/>
          <w:lang w:val="en-US"/>
        </w:rPr>
        <w:t>breaches,</w:t>
      </w:r>
      <w:r>
        <w:rPr>
          <w:rFonts w:ascii="Times New Roman" w:eastAsia="Times New Roman" w:hAnsi="Times New Roman"/>
          <w:sz w:val="20"/>
          <w:szCs w:val="20"/>
          <w:lang w:val="en-US"/>
        </w:rPr>
        <w:t xml:space="preserve"> for example data recovery protocols. </w:t>
      </w:r>
    </w:p>
    <w:p w14:paraId="72BC7615" w14:textId="296A8CAB" w:rsidR="00D06E92" w:rsidRDefault="00D06E92"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Evaluation and recommendations</w:t>
      </w:r>
    </w:p>
    <w:p w14:paraId="09E99844" w14:textId="2B394734" w:rsidR="00D06E92" w:rsidRDefault="00D06E92"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Mitigating risks requires a strong framework that </w:t>
      </w:r>
      <w:proofErr w:type="spellStart"/>
      <w:proofErr w:type="gramStart"/>
      <w:r>
        <w:rPr>
          <w:rFonts w:ascii="Times New Roman" w:eastAsia="Times New Roman" w:hAnsi="Times New Roman"/>
          <w:sz w:val="20"/>
          <w:szCs w:val="20"/>
          <w:lang w:val="en-US"/>
        </w:rPr>
        <w:t>intergrate</w:t>
      </w:r>
      <w:proofErr w:type="spellEnd"/>
      <w:r>
        <w:rPr>
          <w:rFonts w:ascii="Times New Roman" w:eastAsia="Times New Roman" w:hAnsi="Times New Roman"/>
          <w:sz w:val="20"/>
          <w:szCs w:val="20"/>
          <w:lang w:val="en-US"/>
        </w:rPr>
        <w:t xml:space="preserve">  enterprise</w:t>
      </w:r>
      <w:proofErr w:type="gramEnd"/>
      <w:r>
        <w:rPr>
          <w:rFonts w:ascii="Times New Roman" w:eastAsia="Times New Roman" w:hAnsi="Times New Roman"/>
          <w:sz w:val="20"/>
          <w:szCs w:val="20"/>
          <w:lang w:val="en-US"/>
        </w:rPr>
        <w:t xml:space="preserve"> risk management principles that emphasizes on identification, assessment and mitigation of risks. Investing in cybersecurity tools such as endpoint protection and firewalls should be the top priority strategies of Linfox. By collaborating with external cybersecurity experts Linfox can have additional defense layer that ensures protection against merging threats.  </w:t>
      </w:r>
    </w:p>
    <w:p w14:paraId="30B834E5" w14:textId="65763921" w:rsidR="00D06E92" w:rsidRDefault="002A38C2"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Linfox should implement a continuous improvement model to address technological obsolescence where periodic evaluation and upgradation of digital tools is done. Linfox can identify its inefficiencies through regular feedback obtained from </w:t>
      </w:r>
      <w:proofErr w:type="gramStart"/>
      <w:r>
        <w:rPr>
          <w:rFonts w:ascii="Times New Roman" w:eastAsia="Times New Roman" w:hAnsi="Times New Roman"/>
          <w:sz w:val="20"/>
          <w:szCs w:val="20"/>
          <w:lang w:val="en-US"/>
        </w:rPr>
        <w:t>it</w:t>
      </w:r>
      <w:proofErr w:type="gramEnd"/>
      <w:r>
        <w:rPr>
          <w:rFonts w:ascii="Times New Roman" w:eastAsia="Times New Roman" w:hAnsi="Times New Roman"/>
          <w:sz w:val="20"/>
          <w:szCs w:val="20"/>
          <w:lang w:val="en-US"/>
        </w:rPr>
        <w:t xml:space="preserve"> teams and operational staff and areas of improvement can be easily identified. Assessment of potential risks can be done through predictive analytics and preemptive actions can be undertaken. </w:t>
      </w:r>
    </w:p>
    <w:p w14:paraId="2D2CE982" w14:textId="65BA2BC4" w:rsidR="003770DD" w:rsidRDefault="008A1EC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Conclusion </w:t>
      </w:r>
    </w:p>
    <w:p w14:paraId="25F67674" w14:textId="53E76497" w:rsidR="008A1EC8" w:rsidRDefault="008A1EC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Linfox can align digital transformation with its sustainability through adoption of holistic risk management strategies. The company can also adopt strategic measures that help the company safeguard the company against systemic risks. For example, cybersecurity investment, staff training and continuous system upgrade. </w:t>
      </w:r>
    </w:p>
    <w:p w14:paraId="0E37E25D" w14:textId="57B7AD9E" w:rsidR="008A1EC8" w:rsidRDefault="008A1EC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Comparison</w:t>
      </w:r>
    </w:p>
    <w:p w14:paraId="356B8448" w14:textId="2391AFB3" w:rsidR="008A1EC8" w:rsidRDefault="008A1EC8"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AI analysis highlights a broad overview of systematic risks and basic mitigation strategies while the student analysis provides solutions that are more specific for Linfox application. Examples of these applications include; </w:t>
      </w:r>
      <w:r w:rsidR="00A934C0">
        <w:rPr>
          <w:rFonts w:ascii="Times New Roman" w:eastAsia="Times New Roman" w:hAnsi="Times New Roman"/>
          <w:sz w:val="20"/>
          <w:szCs w:val="20"/>
          <w:lang w:val="en-US"/>
        </w:rPr>
        <w:t xml:space="preserve">training programs for employees, predictive analytics and partnerships with cybersecurity experts. These approaches are more practical and more comprehensive and can help Linfox address its challenges. </w:t>
      </w:r>
    </w:p>
    <w:p w14:paraId="2FFC11D6" w14:textId="77777777" w:rsidR="00612189" w:rsidRDefault="00612189" w:rsidP="00612189">
      <w:pPr>
        <w:pStyle w:val="Heading1"/>
        <w:rPr>
          <w:b/>
        </w:rPr>
      </w:pPr>
      <w:bookmarkStart w:id="9" w:name="_Toc186282411"/>
      <w:r>
        <w:rPr>
          <w:b/>
        </w:rPr>
        <w:t>Task 5: Evaluating Sustainability Initiatives</w:t>
      </w:r>
      <w:bookmarkEnd w:id="9"/>
    </w:p>
    <w:p w14:paraId="74451522" w14:textId="33CB2C32" w:rsidR="00612189" w:rsidRDefault="00612189" w:rsidP="00612189">
      <w:pPr>
        <w:pStyle w:val="Heading2"/>
        <w:rPr>
          <w:b/>
          <w:lang w:val="en-US"/>
        </w:rPr>
      </w:pPr>
      <w:bookmarkStart w:id="10" w:name="_Toc186282412"/>
      <w:r>
        <w:rPr>
          <w:b/>
          <w:lang w:val="en-US"/>
        </w:rPr>
        <w:t>AI Answer (Critical Analysis)</w:t>
      </w:r>
      <w:bookmarkEnd w:id="10"/>
    </w:p>
    <w:p w14:paraId="4FCEA012" w14:textId="77777777"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 xml:space="preserve">Evaluating sustainability initiatives demands a comprehensive framework that measures environmental, social, and economic impacts. Tools like ESG metrics and balanced scorecards provide a holistic view of performance. For Linfox, it's crucial to track metrics such as carbon emissions reductions and societal benefits from programs like </w:t>
      </w:r>
      <w:proofErr w:type="spellStart"/>
      <w:r w:rsidRPr="008E2FE5">
        <w:rPr>
          <w:rFonts w:ascii="Times New Roman" w:eastAsia="Times New Roman" w:hAnsi="Times New Roman"/>
          <w:sz w:val="24"/>
          <w:szCs w:val="24"/>
          <w:lang w:val="en-US"/>
        </w:rPr>
        <w:t>FareShare</w:t>
      </w:r>
      <w:proofErr w:type="spellEnd"/>
      <w:r w:rsidRPr="008E2FE5">
        <w:rPr>
          <w:rFonts w:ascii="Times New Roman" w:eastAsia="Times New Roman" w:hAnsi="Times New Roman"/>
          <w:sz w:val="24"/>
          <w:szCs w:val="24"/>
          <w:lang w:val="en-US"/>
        </w:rPr>
        <w:t xml:space="preserve"> to ensure alignment with sustainability goals.</w:t>
      </w:r>
    </w:p>
    <w:p w14:paraId="44DFC0FC" w14:textId="77777777" w:rsidR="008E2FE5" w:rsidRPr="008E2FE5" w:rsidRDefault="008E2FE5" w:rsidP="008E2FE5">
      <w:pPr>
        <w:suppressAutoHyphens w:val="0"/>
        <w:autoSpaceDN/>
        <w:spacing w:before="10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To enhance the reliability and transparency of these evaluations, innovative approaches such as blockchain for data transparency and predictive analytics for forecasting can be employed. These technologies not only improve accuracy but also foster trust among stakeholders. Regular audits and stakeholder feedback are essential to ensure the framework remains relevant and effective, guiding Linfox's strategic decisions.</w:t>
      </w:r>
    </w:p>
    <w:p w14:paraId="146B49AA" w14:textId="4CB26B5D" w:rsidR="008E2FE5" w:rsidRPr="008E2FE5" w:rsidRDefault="008E2FE5" w:rsidP="00667659">
      <w:pPr>
        <w:suppressAutoHyphens w:val="0"/>
        <w:autoSpaceDN/>
        <w:spacing w:before="240" w:beforeAutospacing="1" w:after="100" w:afterAutospacing="1" w:line="240" w:lineRule="auto"/>
        <w:textAlignment w:val="auto"/>
        <w:rPr>
          <w:rFonts w:ascii="Times New Roman" w:eastAsia="Times New Roman" w:hAnsi="Times New Roman"/>
          <w:sz w:val="24"/>
          <w:szCs w:val="24"/>
          <w:lang w:val="en-US"/>
        </w:rPr>
      </w:pPr>
      <w:r w:rsidRPr="008E2FE5">
        <w:rPr>
          <w:rFonts w:ascii="Times New Roman" w:eastAsia="Times New Roman" w:hAnsi="Times New Roman"/>
          <w:sz w:val="24"/>
          <w:szCs w:val="24"/>
          <w:lang w:val="en-US"/>
        </w:rPr>
        <w:t>Additionally, engaging with external experts and organizations can provide valuable insights and benchmarking opportunities, further strengthening Linfox's sustainability initiatives. By continuously refining its evaluation framework, Linfox can maintain a strong commitment to sustainability and drive meaningful progress toward its long-term goals.</w:t>
      </w:r>
      <w:bookmarkStart w:id="11" w:name="_GoBack"/>
      <w:bookmarkEnd w:id="11"/>
    </w:p>
    <w:p w14:paraId="3DD3B52F" w14:textId="77777777" w:rsidR="00612189" w:rsidRDefault="00612189" w:rsidP="00612189">
      <w:pPr>
        <w:pStyle w:val="Heading2"/>
        <w:rPr>
          <w:b/>
          <w:lang w:val="en-US"/>
        </w:rPr>
      </w:pPr>
      <w:bookmarkStart w:id="12" w:name="_Toc186282413"/>
      <w:r>
        <w:rPr>
          <w:b/>
          <w:lang w:val="en-US"/>
        </w:rPr>
        <w:t>Student Answer</w:t>
      </w:r>
      <w:bookmarkEnd w:id="12"/>
    </w:p>
    <w:p w14:paraId="7DDAA05D" w14:textId="77777777" w:rsidR="00612189" w:rsidRDefault="00612189" w:rsidP="00612189">
      <w:pPr>
        <w:suppressAutoHyphens w:val="0"/>
        <w:spacing w:before="100" w:after="100" w:line="240" w:lineRule="auto"/>
        <w:textAlignment w:val="auto"/>
        <w:outlineLvl w:val="4"/>
        <w:rPr>
          <w:rFonts w:ascii="Times New Roman" w:eastAsia="Times New Roman" w:hAnsi="Times New Roman"/>
          <w:b/>
          <w:bCs/>
          <w:sz w:val="20"/>
          <w:szCs w:val="20"/>
          <w:lang w:val="en-US"/>
        </w:rPr>
      </w:pPr>
      <w:r>
        <w:rPr>
          <w:rFonts w:ascii="Times New Roman" w:eastAsia="Times New Roman" w:hAnsi="Times New Roman"/>
          <w:b/>
          <w:bCs/>
          <w:sz w:val="20"/>
          <w:szCs w:val="20"/>
          <w:lang w:val="en-US"/>
        </w:rPr>
        <w:t>Introduction</w:t>
      </w:r>
    </w:p>
    <w:p w14:paraId="66BDEFF3" w14:textId="097EDE59" w:rsidR="00A934C0" w:rsidRDefault="00A934C0"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S</w:t>
      </w:r>
      <w:r w:rsidRPr="00A934C0">
        <w:rPr>
          <w:rFonts w:ascii="Times New Roman" w:eastAsia="Times New Roman" w:hAnsi="Times New Roman"/>
          <w:sz w:val="20"/>
          <w:szCs w:val="20"/>
          <w:lang w:val="en-US"/>
        </w:rPr>
        <w:t>ustainability</w:t>
      </w:r>
      <w:r>
        <w:rPr>
          <w:rFonts w:ascii="Times New Roman" w:eastAsia="Times New Roman" w:hAnsi="Times New Roman"/>
          <w:b/>
          <w:bCs/>
          <w:sz w:val="20"/>
          <w:szCs w:val="20"/>
          <w:lang w:val="en-US"/>
        </w:rPr>
        <w:t xml:space="preserve"> </w:t>
      </w:r>
      <w:r>
        <w:rPr>
          <w:rFonts w:ascii="Times New Roman" w:eastAsia="Times New Roman" w:hAnsi="Times New Roman"/>
          <w:sz w:val="20"/>
          <w:szCs w:val="20"/>
          <w:lang w:val="en-US"/>
        </w:rPr>
        <w:t xml:space="preserve">evaluation frameworks are crucial for measuring the effectiveness of the </w:t>
      </w:r>
      <w:r w:rsidR="00562536">
        <w:rPr>
          <w:rFonts w:ascii="Times New Roman" w:eastAsia="Times New Roman" w:hAnsi="Times New Roman"/>
          <w:sz w:val="20"/>
          <w:szCs w:val="20"/>
          <w:lang w:val="en-US"/>
        </w:rPr>
        <w:t>Linfox’s</w:t>
      </w:r>
      <w:r>
        <w:rPr>
          <w:rFonts w:ascii="Times New Roman" w:eastAsia="Times New Roman" w:hAnsi="Times New Roman"/>
          <w:sz w:val="20"/>
          <w:szCs w:val="20"/>
          <w:lang w:val="en-US"/>
        </w:rPr>
        <w:t xml:space="preserve"> initiatives and can help in guiding future strategies. Linfox can </w:t>
      </w:r>
      <w:r w:rsidR="00562536">
        <w:rPr>
          <w:rFonts w:ascii="Times New Roman" w:eastAsia="Times New Roman" w:hAnsi="Times New Roman"/>
          <w:sz w:val="20"/>
          <w:szCs w:val="20"/>
          <w:lang w:val="en-US"/>
        </w:rPr>
        <w:t>assess</w:t>
      </w:r>
      <w:r>
        <w:rPr>
          <w:rFonts w:ascii="Times New Roman" w:eastAsia="Times New Roman" w:hAnsi="Times New Roman"/>
          <w:sz w:val="20"/>
          <w:szCs w:val="20"/>
          <w:lang w:val="en-US"/>
        </w:rPr>
        <w:t xml:space="preserve"> its performance </w:t>
      </w:r>
      <w:r w:rsidR="00562536">
        <w:rPr>
          <w:rFonts w:ascii="Times New Roman" w:eastAsia="Times New Roman" w:hAnsi="Times New Roman"/>
          <w:sz w:val="20"/>
          <w:szCs w:val="20"/>
          <w:lang w:val="en-US"/>
        </w:rPr>
        <w:t xml:space="preserve">across all dimensions by using tools like ESG metrics and balanced scorecards. </w:t>
      </w:r>
    </w:p>
    <w:p w14:paraId="100F3A2B" w14:textId="7CD0A176" w:rsidR="00562536" w:rsidRDefault="00562536"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Application to Linfox logistics</w:t>
      </w:r>
    </w:p>
    <w:p w14:paraId="7068D9BF" w14:textId="414D5BD5" w:rsidR="00675253" w:rsidRDefault="00562536"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lastRenderedPageBreak/>
        <w:t xml:space="preserve">The </w:t>
      </w:r>
      <w:proofErr w:type="spellStart"/>
      <w:r>
        <w:rPr>
          <w:rFonts w:ascii="Times New Roman" w:eastAsia="Times New Roman" w:hAnsi="Times New Roman"/>
          <w:sz w:val="20"/>
          <w:szCs w:val="20"/>
          <w:lang w:val="en-US"/>
        </w:rPr>
        <w:t>greenfox</w:t>
      </w:r>
      <w:proofErr w:type="spellEnd"/>
      <w:r>
        <w:rPr>
          <w:rFonts w:ascii="Times New Roman" w:eastAsia="Times New Roman" w:hAnsi="Times New Roman"/>
          <w:sz w:val="20"/>
          <w:szCs w:val="20"/>
          <w:lang w:val="en-US"/>
        </w:rPr>
        <w:t xml:space="preserve"> program serves as an essential part of promoting sustainability efforts. Metrics that evaluate specific impact of this program are important for example metrics that assesses specific impact for example the carbon emission per kilometer and adoption rates of renewable energy in warehouses. </w:t>
      </w:r>
      <w:proofErr w:type="spellStart"/>
      <w:r>
        <w:rPr>
          <w:rFonts w:ascii="Times New Roman" w:eastAsia="Times New Roman" w:hAnsi="Times New Roman"/>
          <w:sz w:val="20"/>
          <w:szCs w:val="20"/>
          <w:lang w:val="en-US"/>
        </w:rPr>
        <w:t>Inicators</w:t>
      </w:r>
      <w:proofErr w:type="spellEnd"/>
      <w:r>
        <w:rPr>
          <w:rFonts w:ascii="Times New Roman" w:eastAsia="Times New Roman" w:hAnsi="Times New Roman"/>
          <w:sz w:val="20"/>
          <w:szCs w:val="20"/>
          <w:lang w:val="en-US"/>
        </w:rPr>
        <w:t xml:space="preserve"> such as volume of food distributed and the number of beneficiaries served can be used to measure social initiatives such as </w:t>
      </w:r>
      <w:proofErr w:type="spellStart"/>
      <w:r>
        <w:rPr>
          <w:rFonts w:ascii="Times New Roman" w:eastAsia="Times New Roman" w:hAnsi="Times New Roman"/>
          <w:sz w:val="20"/>
          <w:szCs w:val="20"/>
          <w:lang w:val="en-US"/>
        </w:rPr>
        <w:t>fareshare</w:t>
      </w:r>
      <w:proofErr w:type="spellEnd"/>
      <w:r>
        <w:rPr>
          <w:rFonts w:ascii="Times New Roman" w:eastAsia="Times New Roman" w:hAnsi="Times New Roman"/>
          <w:sz w:val="20"/>
          <w:szCs w:val="20"/>
          <w:lang w:val="en-US"/>
        </w:rPr>
        <w:t xml:space="preserve"> program. </w:t>
      </w:r>
    </w:p>
    <w:p w14:paraId="03876D1E" w14:textId="18CF5159" w:rsidR="00691384" w:rsidRDefault="00691384"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Insights into financial viability of these initiatives can be obtained from economic metrics such as cost savins from energy efficient systems and growth of revenues from sustainability aligned with partnerships. These metrics can be </w:t>
      </w:r>
      <w:proofErr w:type="spellStart"/>
      <w:r>
        <w:rPr>
          <w:rFonts w:ascii="Times New Roman" w:eastAsia="Times New Roman" w:hAnsi="Times New Roman"/>
          <w:sz w:val="20"/>
          <w:szCs w:val="20"/>
          <w:lang w:val="en-US"/>
        </w:rPr>
        <w:t>intergrated</w:t>
      </w:r>
      <w:proofErr w:type="spellEnd"/>
      <w:r>
        <w:rPr>
          <w:rFonts w:ascii="Times New Roman" w:eastAsia="Times New Roman" w:hAnsi="Times New Roman"/>
          <w:sz w:val="20"/>
          <w:szCs w:val="20"/>
          <w:lang w:val="en-US"/>
        </w:rPr>
        <w:t xml:space="preserve"> </w:t>
      </w:r>
      <w:r w:rsidR="0048788D">
        <w:rPr>
          <w:rFonts w:ascii="Times New Roman" w:eastAsia="Times New Roman" w:hAnsi="Times New Roman"/>
          <w:sz w:val="20"/>
          <w:szCs w:val="20"/>
          <w:lang w:val="en-US"/>
        </w:rPr>
        <w:t xml:space="preserve">in a manner that allows balancing of scorecard framework that ensures a holistic view of Linfox performance. </w:t>
      </w:r>
    </w:p>
    <w:p w14:paraId="4A008F92" w14:textId="700BBF20" w:rsidR="0048788D" w:rsidRDefault="0048788D"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Innovative tools like blockchain that enhances transparency should be adopted by the Linfox. Blockchain technology ensures accuracy and credibility by enabling secure tracking of sustainability data. For example, blockchain can be used in verification of sources of renewable energy and documentation of reductions in supply chain emission. </w:t>
      </w:r>
    </w:p>
    <w:p w14:paraId="3BB384BF" w14:textId="597A67EC" w:rsidR="0048788D" w:rsidRDefault="0048788D"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Another critical component is the stakeholder engagement.</w:t>
      </w:r>
      <w:r w:rsidR="00D47007">
        <w:rPr>
          <w:rFonts w:ascii="Times New Roman" w:eastAsia="Times New Roman" w:hAnsi="Times New Roman"/>
          <w:sz w:val="20"/>
          <w:szCs w:val="20"/>
          <w:lang w:val="en-US"/>
        </w:rPr>
        <w:t xml:space="preserve"> </w:t>
      </w:r>
      <w:r>
        <w:rPr>
          <w:rFonts w:ascii="Times New Roman" w:eastAsia="Times New Roman" w:hAnsi="Times New Roman"/>
          <w:sz w:val="20"/>
          <w:szCs w:val="20"/>
          <w:lang w:val="en-US"/>
        </w:rPr>
        <w:t>Gathering qualitative feedback</w:t>
      </w:r>
      <w:r w:rsidR="00D47007">
        <w:rPr>
          <w:rFonts w:ascii="Times New Roman" w:eastAsia="Times New Roman" w:hAnsi="Times New Roman"/>
          <w:sz w:val="20"/>
          <w:szCs w:val="20"/>
          <w:lang w:val="en-US"/>
        </w:rPr>
        <w:t xml:space="preserve"> on the perceived impact of its initiatives can be done by conducting surveys and workshops. </w:t>
      </w:r>
      <w:proofErr w:type="gramStart"/>
      <w:r w:rsidR="00D47007">
        <w:rPr>
          <w:rFonts w:ascii="Times New Roman" w:eastAsia="Times New Roman" w:hAnsi="Times New Roman"/>
          <w:sz w:val="20"/>
          <w:szCs w:val="20"/>
          <w:lang w:val="en-US"/>
        </w:rPr>
        <w:t>These feedback</w:t>
      </w:r>
      <w:proofErr w:type="gramEnd"/>
      <w:r w:rsidR="00D47007">
        <w:rPr>
          <w:rFonts w:ascii="Times New Roman" w:eastAsia="Times New Roman" w:hAnsi="Times New Roman"/>
          <w:sz w:val="20"/>
          <w:szCs w:val="20"/>
          <w:lang w:val="en-US"/>
        </w:rPr>
        <w:t xml:space="preserve"> complementary towards quantitative data therefore evaluating the sustainability performance comprehensively.  </w:t>
      </w:r>
    </w:p>
    <w:p w14:paraId="1B7B18A3" w14:textId="482FB4E6" w:rsidR="00D47007" w:rsidRDefault="00D47007"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Evaluation and recommendation</w:t>
      </w:r>
    </w:p>
    <w:p w14:paraId="303251D1" w14:textId="62DAF57B" w:rsidR="00D47007" w:rsidRDefault="00D47007"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Evaluation framework with dynamisms that adapts to evolving goals and external conditions must be implemented by Linfox. Reliability of the data can be identified through regular audits and this can help </w:t>
      </w:r>
      <w:r w:rsidR="002118EA">
        <w:rPr>
          <w:rFonts w:ascii="Times New Roman" w:eastAsia="Times New Roman" w:hAnsi="Times New Roman"/>
          <w:sz w:val="20"/>
          <w:szCs w:val="20"/>
          <w:lang w:val="en-US"/>
        </w:rPr>
        <w:t xml:space="preserve">identifying areas for improvement. Forecasting the future impact of current initiatives is crucial for making proactive decision making and can be identified through predictive analytics. </w:t>
      </w:r>
    </w:p>
    <w:p w14:paraId="5B107A9E" w14:textId="77777777" w:rsidR="002118EA" w:rsidRDefault="002118EA"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Establishment of feedback loop that integrates findings from evaluations into strategic planning can help Linfox foster continuous improvement. Transparency, trust and collaboration can be enhanced by sharing results with the stakeholders.</w:t>
      </w:r>
    </w:p>
    <w:p w14:paraId="7F488637" w14:textId="0CE1A435" w:rsidR="002118EA" w:rsidRDefault="002118EA"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Conclusion</w:t>
      </w:r>
    </w:p>
    <w:p w14:paraId="2ABFC26E" w14:textId="0B841A11" w:rsidR="002118EA" w:rsidRDefault="007504D9"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By evaluating sustainability initiatives Linfox can align its operational practices with strategic goals. Linfox can ensure its initiatives deliver measurable and meaningful impacts through adoption of comprehensive frameworks that </w:t>
      </w:r>
      <w:proofErr w:type="spellStart"/>
      <w:r>
        <w:rPr>
          <w:rFonts w:ascii="Times New Roman" w:eastAsia="Times New Roman" w:hAnsi="Times New Roman"/>
          <w:sz w:val="20"/>
          <w:szCs w:val="20"/>
          <w:lang w:val="en-US"/>
        </w:rPr>
        <w:t>laverages</w:t>
      </w:r>
      <w:proofErr w:type="spellEnd"/>
      <w:r>
        <w:rPr>
          <w:rFonts w:ascii="Times New Roman" w:eastAsia="Times New Roman" w:hAnsi="Times New Roman"/>
          <w:sz w:val="20"/>
          <w:szCs w:val="20"/>
          <w:lang w:val="en-US"/>
        </w:rPr>
        <w:t xml:space="preserve"> innovative tool</w:t>
      </w:r>
      <w:r w:rsidR="00F14289">
        <w:rPr>
          <w:rFonts w:ascii="Times New Roman" w:eastAsia="Times New Roman" w:hAnsi="Times New Roman"/>
          <w:sz w:val="20"/>
          <w:szCs w:val="20"/>
          <w:lang w:val="en-US"/>
        </w:rPr>
        <w:t xml:space="preserve">s. Blockchain that enhances transparency and predictive analytics that enhances proactive planning are specific applications provided in the student analysis. These recommendations are more practical and ca be used to enhance reliability and effectiveness of Linfox’s sustainability evaluations. </w:t>
      </w:r>
    </w:p>
    <w:p w14:paraId="16DBCAE5" w14:textId="6B179952" w:rsidR="007504D9" w:rsidRDefault="007504D9"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Comparison</w:t>
      </w:r>
    </w:p>
    <w:p w14:paraId="5B6FB6B5" w14:textId="59CBE91A" w:rsidR="007504D9" w:rsidRPr="00A934C0" w:rsidRDefault="007504D9" w:rsidP="00612189">
      <w:pPr>
        <w:suppressAutoHyphens w:val="0"/>
        <w:spacing w:before="100" w:after="100" w:line="240" w:lineRule="auto"/>
        <w:textAlignment w:val="auto"/>
        <w:outlineLvl w:val="4"/>
        <w:rPr>
          <w:rFonts w:ascii="Times New Roman" w:eastAsia="Times New Roman" w:hAnsi="Times New Roman"/>
          <w:sz w:val="20"/>
          <w:szCs w:val="20"/>
          <w:lang w:val="en-US"/>
        </w:rPr>
      </w:pPr>
      <w:r>
        <w:rPr>
          <w:rFonts w:ascii="Times New Roman" w:eastAsia="Times New Roman" w:hAnsi="Times New Roman"/>
          <w:sz w:val="20"/>
          <w:szCs w:val="20"/>
          <w:lang w:val="en-US"/>
        </w:rPr>
        <w:t xml:space="preserve">AI analysis provides fundamental evaluation frameworks like the ESG metrics and balanced score cards. </w:t>
      </w:r>
      <w:r w:rsidR="00F14289">
        <w:rPr>
          <w:rFonts w:ascii="Times New Roman" w:eastAsia="Times New Roman" w:hAnsi="Times New Roman"/>
          <w:sz w:val="20"/>
          <w:szCs w:val="20"/>
          <w:lang w:val="en-US"/>
        </w:rPr>
        <w:t>Blockchain that enhances transparency and predictive analytics that enhances proactive planning are specific applications provided in the student analysis. These recommendations are more practical and ca be used to enhance reliability and effectiveness of Linfox’s sustainability evaluations.</w:t>
      </w:r>
    </w:p>
    <w:p w14:paraId="7C84A9AC" w14:textId="77777777" w:rsidR="00612189" w:rsidRDefault="00612189" w:rsidP="00612189">
      <w:pPr>
        <w:rPr>
          <w:color w:val="FF0000"/>
        </w:rPr>
      </w:pPr>
    </w:p>
    <w:p w14:paraId="03EB2392" w14:textId="77777777" w:rsidR="00612189" w:rsidRDefault="00612189" w:rsidP="00612189">
      <w:pPr>
        <w:rPr>
          <w:color w:val="FF0000"/>
        </w:rPr>
      </w:pPr>
    </w:p>
    <w:p w14:paraId="6EC045E5" w14:textId="77777777" w:rsidR="00612189" w:rsidRDefault="00612189" w:rsidP="00612189">
      <w:pPr>
        <w:rPr>
          <w:color w:val="FF0000"/>
        </w:rPr>
      </w:pPr>
    </w:p>
    <w:p w14:paraId="61464253" w14:textId="77777777" w:rsidR="00612189" w:rsidRDefault="00612189" w:rsidP="00612189">
      <w:pPr>
        <w:rPr>
          <w:color w:val="FF0000"/>
        </w:rPr>
      </w:pPr>
    </w:p>
    <w:p w14:paraId="5F6B45CA" w14:textId="77777777" w:rsidR="00831C44" w:rsidRDefault="00831C44"/>
    <w:sectPr w:rsidR="00831C44">
      <w:headerReference w:type="default" r:id="rId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8DAB9" w14:textId="77777777" w:rsidR="00700B9B" w:rsidRDefault="00700B9B">
      <w:pPr>
        <w:spacing w:after="0" w:line="240" w:lineRule="auto"/>
      </w:pPr>
      <w:r>
        <w:separator/>
      </w:r>
    </w:p>
  </w:endnote>
  <w:endnote w:type="continuationSeparator" w:id="0">
    <w:p w14:paraId="604EBF11" w14:textId="77777777" w:rsidR="00700B9B" w:rsidRDefault="00700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A0ADC" w14:textId="77777777" w:rsidR="00700B9B" w:rsidRDefault="00700B9B">
      <w:pPr>
        <w:spacing w:after="0" w:line="240" w:lineRule="auto"/>
      </w:pPr>
      <w:r>
        <w:separator/>
      </w:r>
    </w:p>
  </w:footnote>
  <w:footnote w:type="continuationSeparator" w:id="0">
    <w:p w14:paraId="0BC4F8E3" w14:textId="77777777" w:rsidR="00700B9B" w:rsidRDefault="00700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8F05D" w14:textId="77777777" w:rsidR="00DF6ED3" w:rsidRDefault="00612189">
    <w:pPr>
      <w:pStyle w:val="Header"/>
      <w:jc w:val="right"/>
    </w:pPr>
    <w:r>
      <w:rPr>
        <w:rFonts w:ascii="Times New Roman" w:hAnsi="Times New Roman"/>
        <w:sz w:val="24"/>
      </w:rPr>
      <w:fldChar w:fldCharType="begin"/>
    </w:r>
    <w:r>
      <w:rPr>
        <w:rFonts w:ascii="Times New Roman" w:hAnsi="Times New Roman"/>
        <w:sz w:val="24"/>
      </w:rPr>
      <w:instrText xml:space="preserve"> PAGE </w:instrText>
    </w:r>
    <w:r>
      <w:rPr>
        <w:rFonts w:ascii="Times New Roman" w:hAnsi="Times New Roman"/>
        <w:sz w:val="24"/>
      </w:rPr>
      <w:fldChar w:fldCharType="separate"/>
    </w:r>
    <w:r>
      <w:rPr>
        <w:rFonts w:ascii="Times New Roman" w:hAnsi="Times New Roman"/>
        <w:sz w:val="24"/>
      </w:rPr>
      <w:t>2</w:t>
    </w:r>
    <w:r>
      <w:rPr>
        <w:rFonts w:ascii="Times New Roman" w:hAnsi="Times New Roman"/>
        <w:sz w:val="24"/>
      </w:rPr>
      <w:fldChar w:fldCharType="end"/>
    </w:r>
  </w:p>
  <w:p w14:paraId="41CA180C" w14:textId="77777777" w:rsidR="00DF6ED3" w:rsidRDefault="00DF6ED3">
    <w:pPr>
      <w:pStyle w:val="Header"/>
      <w:rPr>
        <w:rFonts w:ascii="Times New Roman" w:hAnsi="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89"/>
    <w:rsid w:val="000926F8"/>
    <w:rsid w:val="000D1CBB"/>
    <w:rsid w:val="000E3437"/>
    <w:rsid w:val="000F16F4"/>
    <w:rsid w:val="00100D48"/>
    <w:rsid w:val="00131DB7"/>
    <w:rsid w:val="00157BF3"/>
    <w:rsid w:val="0017763F"/>
    <w:rsid w:val="002118EA"/>
    <w:rsid w:val="00236FFD"/>
    <w:rsid w:val="00247DCF"/>
    <w:rsid w:val="002A38C2"/>
    <w:rsid w:val="00372323"/>
    <w:rsid w:val="003770DD"/>
    <w:rsid w:val="003D5738"/>
    <w:rsid w:val="003F0939"/>
    <w:rsid w:val="0048788D"/>
    <w:rsid w:val="004B1D16"/>
    <w:rsid w:val="0053557C"/>
    <w:rsid w:val="00562536"/>
    <w:rsid w:val="005856D9"/>
    <w:rsid w:val="00591AC3"/>
    <w:rsid w:val="005F7B6F"/>
    <w:rsid w:val="00612189"/>
    <w:rsid w:val="00617448"/>
    <w:rsid w:val="00667659"/>
    <w:rsid w:val="00675253"/>
    <w:rsid w:val="00691384"/>
    <w:rsid w:val="00700B9B"/>
    <w:rsid w:val="00715DF0"/>
    <w:rsid w:val="00725C14"/>
    <w:rsid w:val="007504D9"/>
    <w:rsid w:val="007D5DF9"/>
    <w:rsid w:val="00830F12"/>
    <w:rsid w:val="00831C44"/>
    <w:rsid w:val="008A1EC8"/>
    <w:rsid w:val="008E2FE5"/>
    <w:rsid w:val="0092374D"/>
    <w:rsid w:val="00A52546"/>
    <w:rsid w:val="00A934C0"/>
    <w:rsid w:val="00B2759A"/>
    <w:rsid w:val="00B522F7"/>
    <w:rsid w:val="00B90474"/>
    <w:rsid w:val="00C27FFD"/>
    <w:rsid w:val="00C5551D"/>
    <w:rsid w:val="00C60827"/>
    <w:rsid w:val="00CA3ABC"/>
    <w:rsid w:val="00CB364D"/>
    <w:rsid w:val="00D000FA"/>
    <w:rsid w:val="00D06E92"/>
    <w:rsid w:val="00D47007"/>
    <w:rsid w:val="00DF6ED3"/>
    <w:rsid w:val="00E17A03"/>
    <w:rsid w:val="00EF6EAD"/>
    <w:rsid w:val="00F01C40"/>
    <w:rsid w:val="00F106C6"/>
    <w:rsid w:val="00F14289"/>
    <w:rsid w:val="00FB7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A65CE"/>
  <w15:chartTrackingRefBased/>
  <w15:docId w15:val="{AC4A4380-F8C7-463A-AE8B-D18753D7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89"/>
    <w:pPr>
      <w:suppressAutoHyphens/>
      <w:autoSpaceDN w:val="0"/>
      <w:spacing w:line="249" w:lineRule="auto"/>
      <w:textAlignment w:val="baseline"/>
    </w:pPr>
    <w:rPr>
      <w:rFonts w:ascii="Calibri" w:eastAsia="Calibri" w:hAnsi="Calibri" w:cs="Times New Roman"/>
      <w:lang w:val="en-GB"/>
    </w:rPr>
  </w:style>
  <w:style w:type="paragraph" w:styleId="Heading1">
    <w:name w:val="heading 1"/>
    <w:basedOn w:val="Normal"/>
    <w:next w:val="Normal"/>
    <w:link w:val="Heading1Char"/>
    <w:uiPriority w:val="9"/>
    <w:qFormat/>
    <w:rsid w:val="00612189"/>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612189"/>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89"/>
    <w:rPr>
      <w:rFonts w:ascii="Calibri Light" w:eastAsia="Times New Roman" w:hAnsi="Calibri Light" w:cs="Times New Roman"/>
      <w:color w:val="2F5496"/>
      <w:sz w:val="32"/>
      <w:szCs w:val="32"/>
      <w:lang w:val="en-GB"/>
    </w:rPr>
  </w:style>
  <w:style w:type="character" w:customStyle="1" w:styleId="Heading2Char">
    <w:name w:val="Heading 2 Char"/>
    <w:basedOn w:val="DefaultParagraphFont"/>
    <w:link w:val="Heading2"/>
    <w:uiPriority w:val="9"/>
    <w:rsid w:val="00612189"/>
    <w:rPr>
      <w:rFonts w:ascii="Calibri Light" w:eastAsia="Times New Roman" w:hAnsi="Calibri Light" w:cs="Times New Roman"/>
      <w:color w:val="2F5496"/>
      <w:sz w:val="26"/>
      <w:szCs w:val="26"/>
      <w:lang w:val="en-GB"/>
    </w:rPr>
  </w:style>
  <w:style w:type="paragraph" w:styleId="NormalWeb">
    <w:name w:val="Normal (Web)"/>
    <w:basedOn w:val="Normal"/>
    <w:uiPriority w:val="99"/>
    <w:rsid w:val="00612189"/>
    <w:pPr>
      <w:suppressAutoHyphens w:val="0"/>
      <w:spacing w:before="100" w:after="100" w:line="240" w:lineRule="auto"/>
      <w:textAlignment w:val="auto"/>
    </w:pPr>
    <w:rPr>
      <w:rFonts w:ascii="Times New Roman" w:eastAsia="Times New Roman" w:hAnsi="Times New Roman"/>
      <w:sz w:val="24"/>
      <w:szCs w:val="24"/>
      <w:lang w:val="en-US"/>
    </w:rPr>
  </w:style>
  <w:style w:type="character" w:styleId="Strong">
    <w:name w:val="Strong"/>
    <w:basedOn w:val="DefaultParagraphFont"/>
    <w:rsid w:val="00612189"/>
    <w:rPr>
      <w:b/>
      <w:bCs/>
    </w:rPr>
  </w:style>
  <w:style w:type="paragraph" w:styleId="Header">
    <w:name w:val="header"/>
    <w:basedOn w:val="Normal"/>
    <w:link w:val="HeaderChar"/>
    <w:rsid w:val="00612189"/>
    <w:pPr>
      <w:tabs>
        <w:tab w:val="center" w:pos="4680"/>
        <w:tab w:val="right" w:pos="9360"/>
      </w:tabs>
      <w:spacing w:after="0" w:line="240" w:lineRule="auto"/>
    </w:pPr>
  </w:style>
  <w:style w:type="character" w:customStyle="1" w:styleId="HeaderChar">
    <w:name w:val="Header Char"/>
    <w:basedOn w:val="DefaultParagraphFont"/>
    <w:link w:val="Header"/>
    <w:rsid w:val="00612189"/>
    <w:rPr>
      <w:rFonts w:ascii="Calibri" w:eastAsia="Calibri" w:hAnsi="Calibri" w:cs="Times New Roman"/>
      <w:lang w:val="en-GB"/>
    </w:rPr>
  </w:style>
  <w:style w:type="paragraph" w:styleId="TOCHeading">
    <w:name w:val="TOC Heading"/>
    <w:basedOn w:val="Heading1"/>
    <w:next w:val="Normal"/>
    <w:rsid w:val="00612189"/>
    <w:pPr>
      <w:suppressAutoHyphens w:val="0"/>
      <w:spacing w:line="256" w:lineRule="auto"/>
      <w:textAlignment w:val="auto"/>
    </w:pPr>
    <w:rPr>
      <w:lang w:val="en-US"/>
    </w:rPr>
  </w:style>
  <w:style w:type="paragraph" w:styleId="TOC1">
    <w:name w:val="toc 1"/>
    <w:basedOn w:val="Normal"/>
    <w:next w:val="Normal"/>
    <w:autoRedefine/>
    <w:rsid w:val="00612189"/>
    <w:pPr>
      <w:spacing w:after="100"/>
    </w:pPr>
  </w:style>
  <w:style w:type="paragraph" w:styleId="TOC2">
    <w:name w:val="toc 2"/>
    <w:basedOn w:val="Normal"/>
    <w:next w:val="Normal"/>
    <w:autoRedefine/>
    <w:rsid w:val="00612189"/>
    <w:pPr>
      <w:spacing w:after="100"/>
      <w:ind w:left="220"/>
    </w:pPr>
  </w:style>
  <w:style w:type="character" w:styleId="Hyperlink">
    <w:name w:val="Hyperlink"/>
    <w:basedOn w:val="DefaultParagraphFont"/>
    <w:rsid w:val="0061218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706544">
      <w:bodyDiv w:val="1"/>
      <w:marLeft w:val="0"/>
      <w:marRight w:val="0"/>
      <w:marTop w:val="0"/>
      <w:marBottom w:val="0"/>
      <w:divBdr>
        <w:top w:val="none" w:sz="0" w:space="0" w:color="auto"/>
        <w:left w:val="none" w:sz="0" w:space="0" w:color="auto"/>
        <w:bottom w:val="none" w:sz="0" w:space="0" w:color="auto"/>
        <w:right w:val="none" w:sz="0" w:space="0" w:color="auto"/>
      </w:divBdr>
    </w:div>
    <w:div w:id="945699633">
      <w:bodyDiv w:val="1"/>
      <w:marLeft w:val="0"/>
      <w:marRight w:val="0"/>
      <w:marTop w:val="0"/>
      <w:marBottom w:val="0"/>
      <w:divBdr>
        <w:top w:val="none" w:sz="0" w:space="0" w:color="auto"/>
        <w:left w:val="none" w:sz="0" w:space="0" w:color="auto"/>
        <w:bottom w:val="none" w:sz="0" w:space="0" w:color="auto"/>
        <w:right w:val="none" w:sz="0" w:space="0" w:color="auto"/>
      </w:divBdr>
      <w:divsChild>
        <w:div w:id="1142890883">
          <w:marLeft w:val="0"/>
          <w:marRight w:val="0"/>
          <w:marTop w:val="0"/>
          <w:marBottom w:val="0"/>
          <w:divBdr>
            <w:top w:val="none" w:sz="0" w:space="0" w:color="auto"/>
            <w:left w:val="none" w:sz="0" w:space="0" w:color="auto"/>
            <w:bottom w:val="none" w:sz="0" w:space="0" w:color="auto"/>
            <w:right w:val="none" w:sz="0" w:space="0" w:color="auto"/>
          </w:divBdr>
          <w:divsChild>
            <w:div w:id="11482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1425">
      <w:bodyDiv w:val="1"/>
      <w:marLeft w:val="0"/>
      <w:marRight w:val="0"/>
      <w:marTop w:val="0"/>
      <w:marBottom w:val="0"/>
      <w:divBdr>
        <w:top w:val="none" w:sz="0" w:space="0" w:color="auto"/>
        <w:left w:val="none" w:sz="0" w:space="0" w:color="auto"/>
        <w:bottom w:val="none" w:sz="0" w:space="0" w:color="auto"/>
        <w:right w:val="none" w:sz="0" w:space="0" w:color="auto"/>
      </w:divBdr>
    </w:div>
    <w:div w:id="1517033868">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0"/>
          <w:marRight w:val="0"/>
          <w:marTop w:val="0"/>
          <w:marBottom w:val="0"/>
          <w:divBdr>
            <w:top w:val="none" w:sz="0" w:space="0" w:color="auto"/>
            <w:left w:val="none" w:sz="0" w:space="0" w:color="auto"/>
            <w:bottom w:val="none" w:sz="0" w:space="0" w:color="auto"/>
            <w:right w:val="none" w:sz="0" w:space="0" w:color="auto"/>
          </w:divBdr>
          <w:divsChild>
            <w:div w:id="267006956">
              <w:marLeft w:val="0"/>
              <w:marRight w:val="0"/>
              <w:marTop w:val="0"/>
              <w:marBottom w:val="0"/>
              <w:divBdr>
                <w:top w:val="none" w:sz="0" w:space="0" w:color="auto"/>
                <w:left w:val="none" w:sz="0" w:space="0" w:color="auto"/>
                <w:bottom w:val="none" w:sz="0" w:space="0" w:color="auto"/>
                <w:right w:val="none" w:sz="0" w:space="0" w:color="auto"/>
              </w:divBdr>
              <w:divsChild>
                <w:div w:id="81765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248">
          <w:marLeft w:val="0"/>
          <w:marRight w:val="0"/>
          <w:marTop w:val="0"/>
          <w:marBottom w:val="0"/>
          <w:divBdr>
            <w:top w:val="none" w:sz="0" w:space="0" w:color="auto"/>
            <w:left w:val="none" w:sz="0" w:space="0" w:color="auto"/>
            <w:bottom w:val="none" w:sz="0" w:space="0" w:color="auto"/>
            <w:right w:val="none" w:sz="0" w:space="0" w:color="auto"/>
          </w:divBdr>
          <w:divsChild>
            <w:div w:id="18865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2025-01-04T17:44:00Z</dcterms:created>
  <dcterms:modified xsi:type="dcterms:W3CDTF">2025-01-04T17:44:00Z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d91259d08ae54874778c0d1bea78c601aeeb79cc95ac8a2dfa841cc3a249694f</vt:lpwstr>
  </property>
</Properties>
</file>