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55F6" w14:textId="2D191FDC" w:rsidR="00D3075D" w:rsidRDefault="00D3075D" w:rsidP="00D3075D">
      <w:pPr>
        <w:spacing w:after="0" w:line="480" w:lineRule="auto"/>
        <w:rPr>
          <w:rFonts w:ascii="Times New Roman" w:hAnsi="Times New Roman"/>
          <w:b/>
          <w:bCs/>
          <w:sz w:val="24"/>
          <w:szCs w:val="24"/>
          <w:lang w:val="en-US"/>
        </w:rPr>
      </w:pPr>
      <w:bookmarkStart w:id="0" w:name="_Toc186282401"/>
      <w:r>
        <w:rPr>
          <w:rFonts w:ascii="Times New Roman" w:hAnsi="Times New Roman"/>
          <w:b/>
          <w:bCs/>
          <w:sz w:val="24"/>
          <w:szCs w:val="24"/>
          <w:lang w:val="en-US"/>
        </w:rPr>
        <w:t xml:space="preserve">Task </w:t>
      </w:r>
      <w:r w:rsidR="003F09B1">
        <w:rPr>
          <w:rFonts w:ascii="Times New Roman" w:hAnsi="Times New Roman"/>
          <w:b/>
          <w:bCs/>
          <w:sz w:val="24"/>
          <w:szCs w:val="24"/>
          <w:lang w:val="en-US"/>
        </w:rPr>
        <w:t xml:space="preserve">two </w:t>
      </w:r>
    </w:p>
    <w:p w14:paraId="75B0E66D" w14:textId="01C789AD" w:rsidR="00D3075D" w:rsidRPr="002C08D4" w:rsidRDefault="00D3075D" w:rsidP="00D3075D">
      <w:pPr>
        <w:spacing w:after="0" w:line="480" w:lineRule="auto"/>
        <w:rPr>
          <w:rFonts w:ascii="Times New Roman" w:hAnsi="Times New Roman"/>
          <w:b/>
          <w:bCs/>
          <w:sz w:val="24"/>
          <w:szCs w:val="24"/>
          <w:lang w:val="en-US"/>
        </w:rPr>
      </w:pPr>
      <w:r w:rsidRPr="002C08D4">
        <w:rPr>
          <w:rFonts w:ascii="Times New Roman" w:hAnsi="Times New Roman"/>
          <w:b/>
          <w:bCs/>
          <w:sz w:val="24"/>
          <w:szCs w:val="24"/>
          <w:lang w:val="en-US"/>
        </w:rPr>
        <w:t>Student Answer</w:t>
      </w:r>
      <w:bookmarkEnd w:id="0"/>
    </w:p>
    <w:p w14:paraId="1E84D15F" w14:textId="77777777" w:rsidR="00D3075D" w:rsidRPr="002C08D4" w:rsidRDefault="00D3075D" w:rsidP="00D3075D">
      <w:pPr>
        <w:spacing w:after="0" w:line="480" w:lineRule="auto"/>
        <w:rPr>
          <w:rFonts w:ascii="Times New Roman" w:eastAsia="Times New Roman" w:hAnsi="Times New Roman"/>
          <w:b/>
          <w:sz w:val="24"/>
          <w:szCs w:val="24"/>
          <w:lang w:val="en-US"/>
        </w:rPr>
      </w:pPr>
      <w:r w:rsidRPr="002C08D4">
        <w:rPr>
          <w:rFonts w:ascii="Times New Roman" w:eastAsia="Times New Roman" w:hAnsi="Times New Roman"/>
          <w:b/>
          <w:sz w:val="24"/>
          <w:szCs w:val="24"/>
          <w:lang w:val="en-US"/>
        </w:rPr>
        <w:t>Introduction</w:t>
      </w:r>
    </w:p>
    <w:p w14:paraId="6860E108"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Organizations must adopt policies that encourage waste minimization, improvisation of efficiency and alignment with environmental and social objectives to enhance a sustainable supply chain. Sustainability for Linfox is an operational goal and a key imperative to its strategies. Linfox can leverage frameworks such as lean management and total quality management to optimize the supply chain while addressing resistance from stakeholders.   </w:t>
      </w:r>
    </w:p>
    <w:p w14:paraId="67A5E099" w14:textId="77777777" w:rsidR="00D3075D" w:rsidRPr="002C08D4" w:rsidRDefault="00D3075D" w:rsidP="00D3075D">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Application to Linfox Logistics</w:t>
      </w:r>
    </w:p>
    <w:p w14:paraId="61A62E9D"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Adopting electric vehicles and installing renewable energy systems demonstrates a commitment by Linfox's </w:t>
      </w:r>
      <w:proofErr w:type="spellStart"/>
      <w:r w:rsidRPr="002C08D4">
        <w:rPr>
          <w:rFonts w:ascii="Times New Roman" w:eastAsia="Times New Roman" w:hAnsi="Times New Roman"/>
          <w:sz w:val="24"/>
          <w:szCs w:val="24"/>
          <w:lang w:val="en-US"/>
        </w:rPr>
        <w:t>GreenFox</w:t>
      </w:r>
      <w:proofErr w:type="spellEnd"/>
      <w:r w:rsidRPr="002C08D4">
        <w:rPr>
          <w:rFonts w:ascii="Times New Roman" w:eastAsia="Times New Roman" w:hAnsi="Times New Roman"/>
          <w:sz w:val="24"/>
          <w:szCs w:val="24"/>
          <w:lang w:val="en-US"/>
        </w:rPr>
        <w:t xml:space="preserve"> initiative towards supply chain sustainability. Enhancing efficiency and minimizing waste can be achieved through further optimization. Applying lean management principles to streamline processes, such as just-in-time operation and continuous improvement, could be essential and significant. Real-time tracking to optimize delivery routes can also reduce fuel consumption and delivery times, directly lowering emissions.  </w:t>
      </w:r>
    </w:p>
    <w:p w14:paraId="3F571F7E"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Resistance from stakeholders, particularly from suppliers, poses a significant challenge. Resistance may arise when risks such as increased costs and operational disruptions. Collaborating with other suppliers can help Linfox address these challenges, for example, incentives like cost sharing for adopting greener practices. The company can enlighten its suppliers with sustainability goals through programs such as training workshops, enabling Linfox to foster a shared vision. </w:t>
      </w:r>
    </w:p>
    <w:p w14:paraId="0C5FF22E"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Digital tools like Snowflake can improve transparency in the supply chain. Snowflake provides real-time data on shipment and warehouse operations, so Linfox can identify </w:t>
      </w:r>
      <w:r w:rsidRPr="002C08D4">
        <w:rPr>
          <w:rFonts w:ascii="Times New Roman" w:eastAsia="Times New Roman" w:hAnsi="Times New Roman"/>
          <w:sz w:val="24"/>
          <w:szCs w:val="24"/>
          <w:lang w:val="en-US"/>
        </w:rPr>
        <w:lastRenderedPageBreak/>
        <w:t xml:space="preserve">inefficiencies and adjust processes dynamically. By integrating digital tools, Linfox can attain sustainability goals, which enhance reliability and responsiveness, which enhance customer satisfaction. </w:t>
      </w:r>
    </w:p>
    <w:p w14:paraId="57DA742D" w14:textId="77777777" w:rsidR="00D3075D" w:rsidRPr="002C08D4" w:rsidRDefault="00D3075D" w:rsidP="00D3075D">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Evaluation and Recommendation</w:t>
      </w:r>
    </w:p>
    <w:p w14:paraId="72A7B54A"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To overcome challenges, Linfox must adopt a multiple-prolonged approach and achieve sustainability in the supply chain. Tangible benefits shown in the pilot program encourage broader adoption by optimizing the warehouse's route and energy efficiency. Continuous monitoring and improvement can also be done by establishing key performance indicators such as carbon emissions per shipment or energy use per warehouse. Joint sustainability initiatives are also essential for Linfox to strengthen supplier relationships, and this can help enhance mutual benefits. </w:t>
      </w:r>
    </w:p>
    <w:p w14:paraId="26E2DB02"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Fostering a culture of innovation and sustainability can help mitigate resistance from internal stakeholders. Motivating employees through employee engagement programs, such as gamifying eco-friendly practices, can encourage them to embrace sustainability as a core value. Prioritizing projects that lead to quick returns can help build momentum for more extensive initiatives, such as transitioning to LED lights in warehouses.</w:t>
      </w:r>
    </w:p>
    <w:p w14:paraId="67F8B0C5" w14:textId="77777777" w:rsidR="00D3075D" w:rsidRPr="002C08D4" w:rsidRDefault="00D3075D" w:rsidP="00D3075D">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Conclusion</w:t>
      </w:r>
    </w:p>
    <w:p w14:paraId="4AA255A0"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Strategic planning, collaboration, and innovation are crucial in enhancing supply chain sustainability. Linfox can overcome the challenges faced by efforts to promote supply chain sustainability by leveraging digital tools and stakeholder engagement into its strategies.  </w:t>
      </w:r>
    </w:p>
    <w:p w14:paraId="50BBAFB8" w14:textId="77777777" w:rsidR="00D3075D" w:rsidRPr="002C08D4" w:rsidRDefault="00D3075D" w:rsidP="00D3075D">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 xml:space="preserve">Comparison </w:t>
      </w:r>
    </w:p>
    <w:p w14:paraId="4B510274" w14:textId="77777777" w:rsidR="00D3075D" w:rsidRPr="002C08D4" w:rsidRDefault="00D3075D" w:rsidP="00D3075D">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AI highlights key principles such as lean management and digital tools but does not fully address Linfox's specific implementation strategies. My analysis provides actionable steps </w:t>
      </w:r>
      <w:r w:rsidRPr="002C08D4">
        <w:rPr>
          <w:rFonts w:ascii="Times New Roman" w:eastAsia="Times New Roman" w:hAnsi="Times New Roman"/>
          <w:sz w:val="24"/>
          <w:szCs w:val="24"/>
          <w:lang w:val="en-US"/>
        </w:rPr>
        <w:lastRenderedPageBreak/>
        <w:t xml:space="preserve">tailored towards solving Linfox's unique challenges, such as pilot programs, supplier initiatives, and employee engagement initiatives. The study provides an added depth that ensures the concepts are applied practically to Linfox's operation.   </w:t>
      </w:r>
    </w:p>
    <w:p w14:paraId="53CB3EB8" w14:textId="7598A294" w:rsidR="003F09B1" w:rsidRDefault="003F09B1" w:rsidP="003F09B1">
      <w:pPr>
        <w:spacing w:after="0" w:line="480" w:lineRule="auto"/>
        <w:rPr>
          <w:rFonts w:ascii="Times New Roman" w:hAnsi="Times New Roman"/>
          <w:b/>
          <w:bCs/>
          <w:sz w:val="24"/>
          <w:szCs w:val="24"/>
          <w:lang w:val="en-US"/>
        </w:rPr>
      </w:pPr>
      <w:bookmarkStart w:id="1" w:name="_Toc186282405"/>
      <w:r>
        <w:rPr>
          <w:rFonts w:ascii="Times New Roman" w:hAnsi="Times New Roman"/>
          <w:b/>
          <w:bCs/>
          <w:sz w:val="24"/>
          <w:szCs w:val="24"/>
          <w:lang w:val="en-US"/>
        </w:rPr>
        <w:t>Task three</w:t>
      </w:r>
    </w:p>
    <w:p w14:paraId="6C889801" w14:textId="51D0D6BF" w:rsidR="003F09B1" w:rsidRPr="002C08D4" w:rsidRDefault="003F09B1" w:rsidP="003F09B1">
      <w:pPr>
        <w:spacing w:after="0" w:line="480" w:lineRule="auto"/>
        <w:rPr>
          <w:rFonts w:ascii="Times New Roman" w:hAnsi="Times New Roman"/>
          <w:b/>
          <w:bCs/>
          <w:sz w:val="24"/>
          <w:szCs w:val="24"/>
          <w:lang w:val="en-US"/>
        </w:rPr>
      </w:pPr>
      <w:r w:rsidRPr="002C08D4">
        <w:rPr>
          <w:rFonts w:ascii="Times New Roman" w:hAnsi="Times New Roman"/>
          <w:b/>
          <w:bCs/>
          <w:sz w:val="24"/>
          <w:szCs w:val="24"/>
          <w:lang w:val="en-US"/>
        </w:rPr>
        <w:t>Student Answer</w:t>
      </w:r>
      <w:bookmarkEnd w:id="1"/>
    </w:p>
    <w:p w14:paraId="4F3C4670" w14:textId="77777777" w:rsidR="003F09B1" w:rsidRPr="002C08D4" w:rsidRDefault="003F09B1" w:rsidP="003F09B1">
      <w:pPr>
        <w:spacing w:after="0" w:line="480" w:lineRule="auto"/>
        <w:rPr>
          <w:rFonts w:ascii="Times New Roman" w:eastAsia="Times New Roman" w:hAnsi="Times New Roman"/>
          <w:b/>
          <w:sz w:val="24"/>
          <w:szCs w:val="24"/>
          <w:lang w:val="en-US"/>
        </w:rPr>
      </w:pPr>
      <w:r w:rsidRPr="002C08D4">
        <w:rPr>
          <w:rFonts w:ascii="Times New Roman" w:eastAsia="Times New Roman" w:hAnsi="Times New Roman"/>
          <w:b/>
          <w:sz w:val="24"/>
          <w:szCs w:val="24"/>
          <w:lang w:val="en-US"/>
        </w:rPr>
        <w:t>Introduction</w:t>
      </w:r>
    </w:p>
    <w:p w14:paraId="56671C10"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Applying global sustainability </w:t>
      </w:r>
      <w:r w:rsidRPr="002C08D4">
        <w:rPr>
          <w:rFonts w:ascii="Times New Roman" w:eastAsia="Times New Roman" w:hAnsi="Times New Roman"/>
          <w:sz w:val="24"/>
          <w:szCs w:val="24"/>
          <w:u w:val="single"/>
          <w:lang w:val="en-US"/>
        </w:rPr>
        <w:t>strategies</w:t>
      </w:r>
      <w:r w:rsidRPr="002C08D4">
        <w:rPr>
          <w:rFonts w:ascii="Times New Roman" w:eastAsia="Times New Roman" w:hAnsi="Times New Roman"/>
          <w:sz w:val="24"/>
          <w:szCs w:val="24"/>
          <w:lang w:val="en-US"/>
        </w:rPr>
        <w:t xml:space="preserve"> in diverse local markets is often associated with challenges. Cultural variations, government regulation, and levels of economic development require a nuanced approach. Theories like the Hofstede cultural dimension and institutional theory provide guidance to various organizations on better ways and approaches to finding a balance between maintaining global standards and local adaptability. </w:t>
      </w:r>
    </w:p>
    <w:p w14:paraId="4CAC88CC" w14:textId="77777777" w:rsidR="003F09B1" w:rsidRPr="002C08D4" w:rsidRDefault="003F09B1" w:rsidP="003F09B1">
      <w:pPr>
        <w:spacing w:after="0" w:line="480" w:lineRule="auto"/>
        <w:rPr>
          <w:rFonts w:ascii="Times New Roman" w:eastAsia="Times New Roman" w:hAnsi="Times New Roman"/>
          <w:b/>
          <w:sz w:val="24"/>
          <w:szCs w:val="24"/>
          <w:lang w:val="en-US"/>
        </w:rPr>
      </w:pPr>
      <w:r w:rsidRPr="002C08D4">
        <w:rPr>
          <w:rFonts w:ascii="Times New Roman" w:eastAsia="Times New Roman" w:hAnsi="Times New Roman"/>
          <w:b/>
          <w:sz w:val="24"/>
          <w:szCs w:val="24"/>
          <w:lang w:val="en-US"/>
        </w:rPr>
        <w:t>Application to Linfox Logistics</w:t>
      </w:r>
    </w:p>
    <w:p w14:paraId="1208E509"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Linfox operates in multiple regions with distinct cultures and different regulations. Implementation of the </w:t>
      </w:r>
      <w:proofErr w:type="spellStart"/>
      <w:r w:rsidRPr="002C08D4">
        <w:rPr>
          <w:rFonts w:ascii="Times New Roman" w:eastAsia="Times New Roman" w:hAnsi="Times New Roman"/>
          <w:sz w:val="24"/>
          <w:szCs w:val="24"/>
          <w:lang w:val="en-US"/>
        </w:rPr>
        <w:t>Greenfox</w:t>
      </w:r>
      <w:proofErr w:type="spellEnd"/>
      <w:r w:rsidRPr="002C08D4">
        <w:rPr>
          <w:rFonts w:ascii="Times New Roman" w:eastAsia="Times New Roman" w:hAnsi="Times New Roman"/>
          <w:sz w:val="24"/>
          <w:szCs w:val="24"/>
          <w:lang w:val="en-US"/>
        </w:rPr>
        <w:t xml:space="preserve"> program can be done quickly by Linfox, especially in developing countries where the market is under stringent environmental regulations. For instance, the adoption of electric vehicles and renewable energy systems. Developing countries with limited resources and infrastructural facilities implement intermediate solutions, such as using hybrid, ID cars, and fuel-efficient practices, which are simple differences that influence perceptions of sustainability initiatives. Benefits such as reduced air pollution or the creation of jobs through projects such as greenspace are significant, especially to cultures that value collectivism, and these efforts can be very impactful. Trust can be further enhanced by partnering with local community organizations, which can create a more engaging environment. </w:t>
      </w:r>
    </w:p>
    <w:p w14:paraId="7A474576"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lastRenderedPageBreak/>
        <w:t xml:space="preserve">Regulatory environments play an important role in shaping strategies. By engaging with local governments, Linfox can ensure compliance with the regulations while advocating for supportive policies. They can incentivize taxes for the installation of renewable energies, which can help reduce costs and accelerate adoption. </w:t>
      </w:r>
    </w:p>
    <w:p w14:paraId="1B40ACBE"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Evaluation and Recommendation</w:t>
      </w:r>
    </w:p>
    <w:p w14:paraId="1B2FA5A8"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To ensure sustainable and efficient initiatives, Linfox should merge global standards with local adaptations. Linfox can further employ regional teams to manage local implementation to help address specific cultural and regulatory challenges. Insights gained from the feedback provided by the stakeholders are significant in enhancing continuous improvements. </w:t>
      </w:r>
    </w:p>
    <w:p w14:paraId="0DF2CD17"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Conclusion</w:t>
      </w:r>
    </w:p>
    <w:p w14:paraId="36B2A188"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Flexibility, collaboration, and cultural sensitivity are crucial to balancing global and local strategies. Linfox's ability to adapt sustainable practices to ensure effectiveness across diverse markets enables It to maintain its alignment with the global vision.</w:t>
      </w:r>
    </w:p>
    <w:p w14:paraId="7DEB9E64"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Comparison</w:t>
      </w:r>
    </w:p>
    <w:p w14:paraId="5328672D"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AI analysis highlights the key frameworks and the importance of balancing standard approaches with local flexibility. My analysis builds on this by applying concepts to Linfox's operations, offering solutions such as regional teams and community partnerships for local engagement. </w:t>
      </w:r>
    </w:p>
    <w:p w14:paraId="500B0522" w14:textId="2A0B3C7A" w:rsidR="003F09B1" w:rsidRPr="003F09B1" w:rsidRDefault="003F09B1" w:rsidP="003F09B1">
      <w:pPr>
        <w:spacing w:after="0" w:line="480" w:lineRule="auto"/>
        <w:rPr>
          <w:rFonts w:ascii="Times New Roman" w:eastAsia="Times New Roman" w:hAnsi="Times New Roman"/>
          <w:b/>
          <w:bCs/>
          <w:sz w:val="24"/>
          <w:szCs w:val="24"/>
          <w:lang w:val="en-US"/>
        </w:rPr>
      </w:pPr>
      <w:r w:rsidRPr="003F09B1">
        <w:rPr>
          <w:rFonts w:ascii="Times New Roman" w:eastAsia="Times New Roman" w:hAnsi="Times New Roman"/>
          <w:b/>
          <w:bCs/>
          <w:sz w:val="24"/>
          <w:szCs w:val="24"/>
          <w:lang w:val="en-US"/>
        </w:rPr>
        <w:t>Task four</w:t>
      </w:r>
    </w:p>
    <w:p w14:paraId="6D0EB43C" w14:textId="77777777" w:rsidR="003F09B1" w:rsidRPr="002C08D4" w:rsidRDefault="003F09B1" w:rsidP="003F09B1">
      <w:pPr>
        <w:spacing w:after="0" w:line="480" w:lineRule="auto"/>
        <w:rPr>
          <w:rFonts w:ascii="Times New Roman" w:hAnsi="Times New Roman"/>
          <w:b/>
          <w:bCs/>
          <w:sz w:val="24"/>
          <w:szCs w:val="24"/>
          <w:lang w:val="en-US"/>
        </w:rPr>
      </w:pPr>
      <w:bookmarkStart w:id="2" w:name="_Toc186282409"/>
      <w:r w:rsidRPr="002C08D4">
        <w:rPr>
          <w:rFonts w:ascii="Times New Roman" w:hAnsi="Times New Roman"/>
          <w:b/>
          <w:bCs/>
          <w:sz w:val="24"/>
          <w:szCs w:val="24"/>
          <w:lang w:val="en-US"/>
        </w:rPr>
        <w:t>Student Answer</w:t>
      </w:r>
      <w:bookmarkEnd w:id="2"/>
    </w:p>
    <w:p w14:paraId="6825587B"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Introduction</w:t>
      </w:r>
    </w:p>
    <w:p w14:paraId="7BC05C18"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Digital transformation can enhance operations' efficiency and sustainability. However, systemic risks, such as data breaches, technological obsolescence, and cybersecurity, may occur </w:t>
      </w:r>
      <w:r w:rsidRPr="002C08D4">
        <w:rPr>
          <w:rFonts w:ascii="Times New Roman" w:eastAsia="Times New Roman" w:hAnsi="Times New Roman"/>
          <w:sz w:val="24"/>
          <w:szCs w:val="24"/>
          <w:lang w:val="en-US"/>
        </w:rPr>
        <w:lastRenderedPageBreak/>
        <w:t xml:space="preserve">due to exposure created by using advanced tools like </w:t>
      </w:r>
      <w:proofErr w:type="spellStart"/>
      <w:r w:rsidRPr="002C08D4">
        <w:rPr>
          <w:rFonts w:ascii="Times New Roman" w:eastAsia="Times New Roman" w:hAnsi="Times New Roman"/>
          <w:sz w:val="24"/>
          <w:szCs w:val="24"/>
          <w:lang w:val="en-US"/>
        </w:rPr>
        <w:t>BevChain</w:t>
      </w:r>
      <w:proofErr w:type="spellEnd"/>
      <w:r w:rsidRPr="002C08D4">
        <w:rPr>
          <w:rFonts w:ascii="Times New Roman" w:eastAsia="Times New Roman" w:hAnsi="Times New Roman"/>
          <w:sz w:val="24"/>
          <w:szCs w:val="24"/>
          <w:lang w:val="en-US"/>
        </w:rPr>
        <w:t xml:space="preserve"> and Snowflake. If left unmitigated, these risks can undermine sustainability goals and damage the organization's credibility. </w:t>
      </w:r>
    </w:p>
    <w:p w14:paraId="1D99F6C3"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Application to Linfox Logistics</w:t>
      </w:r>
    </w:p>
    <w:p w14:paraId="369C5C00"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Snowflake tools for real-time data tracking and </w:t>
      </w:r>
      <w:proofErr w:type="spellStart"/>
      <w:r w:rsidRPr="002C08D4">
        <w:rPr>
          <w:rFonts w:ascii="Times New Roman" w:eastAsia="Times New Roman" w:hAnsi="Times New Roman"/>
          <w:sz w:val="24"/>
          <w:szCs w:val="24"/>
          <w:lang w:val="en-US"/>
        </w:rPr>
        <w:t>BevChain</w:t>
      </w:r>
      <w:proofErr w:type="spellEnd"/>
      <w:r w:rsidRPr="002C08D4">
        <w:rPr>
          <w:rFonts w:ascii="Times New Roman" w:eastAsia="Times New Roman" w:hAnsi="Times New Roman"/>
          <w:sz w:val="24"/>
          <w:szCs w:val="24"/>
          <w:lang w:val="en-US"/>
        </w:rPr>
        <w:t xml:space="preserve"> for warehouse automation are some of the digital transformation strategies Linfox uses. Despite the benefits associated with systems like sustainability and efficiency, they pose challenges and vulnerabilities. Sensitive operational data can get exposed when external servers feed information to cloud-based systems like Snowflake. Overdependence on technology can pose another problem, which can increase the chances of potential system failures, such as the automation of warehouses. </w:t>
      </w:r>
    </w:p>
    <w:p w14:paraId="27823894"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Multi-layered strategies can be implemented to address these challenges, including advanced data encryption and systems that can detect suspicious intrusions. Linfox can conduct regular audits of digital infrastructure to reduce risks of regulatory breaches and ensure compliance with global data privacy standards. Linfox can also ensure they stay ahead of technological advancements by partnering with technological providers to ensure the efficiency of the systems. </w:t>
      </w:r>
    </w:p>
    <w:p w14:paraId="49C151AB"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Another critical component of mitigating risks is training employees. Establishing workshops to enlighten employees on cybersecurity and data privacy empowers the staff to recognize and respond to threats. Contingency plans, such as data recovery protocols, can be introduced to minimize disruptions occurring in the event of breaches. </w:t>
      </w:r>
    </w:p>
    <w:p w14:paraId="1866E70A"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Evaluation and Recommendations</w:t>
      </w:r>
    </w:p>
    <w:p w14:paraId="3EBA1CE9"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Mitigating risks requires a strong framework that integrates enterprise risk management principles that emphasize identifying, assessing, and mitigating risks. Linfox should prioritize </w:t>
      </w:r>
      <w:r w:rsidRPr="002C08D4">
        <w:rPr>
          <w:rFonts w:ascii="Times New Roman" w:eastAsia="Times New Roman" w:hAnsi="Times New Roman"/>
          <w:sz w:val="24"/>
          <w:szCs w:val="24"/>
          <w:lang w:val="en-US"/>
        </w:rPr>
        <w:lastRenderedPageBreak/>
        <w:t xml:space="preserve">investing in cybersecurity tools like endpoint protection and firewalls. By collaborating with external cybersecurity experts, Linfox can have an additional </w:t>
      </w:r>
      <w:proofErr w:type="spellStart"/>
      <w:r w:rsidRPr="002C08D4">
        <w:rPr>
          <w:rFonts w:ascii="Times New Roman" w:eastAsia="Times New Roman" w:hAnsi="Times New Roman"/>
          <w:sz w:val="24"/>
          <w:szCs w:val="24"/>
          <w:lang w:val="en-US"/>
        </w:rPr>
        <w:t>defence</w:t>
      </w:r>
      <w:proofErr w:type="spellEnd"/>
      <w:r w:rsidRPr="002C08D4">
        <w:rPr>
          <w:rFonts w:ascii="Times New Roman" w:eastAsia="Times New Roman" w:hAnsi="Times New Roman"/>
          <w:sz w:val="24"/>
          <w:szCs w:val="24"/>
          <w:lang w:val="en-US"/>
        </w:rPr>
        <w:t xml:space="preserve"> layer that ensures security against merging threats.  </w:t>
      </w:r>
    </w:p>
    <w:p w14:paraId="04F3EBEB"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Linfox should implement a continuous improvement model to address technological obsolescence, where periodic evaluation and upgradation of digital tools are done. Linfox can identify its inefficiencies through regular feedback obtained from its teams and operational staff, and areas of improvement can be easily identified. Potential risks can be assessed through predictive analytics, and preemptive actions can be undertaken. </w:t>
      </w:r>
    </w:p>
    <w:p w14:paraId="1CAE3E9C"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 xml:space="preserve">Conclusion </w:t>
      </w:r>
    </w:p>
    <w:p w14:paraId="63A4AEE7"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Linfox can align digital transformation with sustainability through the adoption of holistic risk management strategies. The company can also adopt strategic measures that help safeguard it against systemic risks, such as cybersecurity investment, staff training, and continuous system upgrades. </w:t>
      </w:r>
    </w:p>
    <w:p w14:paraId="3FD6B1A7"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Comparison</w:t>
      </w:r>
    </w:p>
    <w:p w14:paraId="2A6A366D"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AI analysis highlights a broad overview of systematic risks and basic mitigation strategies, while the student analysis provides solutions that are more specific to Linfox's application. Examples of these applications include employee training programs, predictive analytics, and partnerships with cybersecurity experts. These approaches are more practical and comprehensive and can help Linfox address its challenges. </w:t>
      </w:r>
    </w:p>
    <w:p w14:paraId="31A31F53" w14:textId="78572173" w:rsidR="00D314DD" w:rsidRDefault="003F09B1">
      <w:pPr>
        <w:rPr>
          <w:rFonts w:ascii="Times New Roman" w:eastAsia="Times New Roman" w:hAnsi="Times New Roman"/>
          <w:b/>
          <w:bCs/>
          <w:sz w:val="24"/>
          <w:szCs w:val="24"/>
          <w:lang w:val="en-US"/>
        </w:rPr>
      </w:pPr>
      <w:r w:rsidRPr="003F09B1">
        <w:rPr>
          <w:rFonts w:ascii="Times New Roman" w:eastAsia="Times New Roman" w:hAnsi="Times New Roman"/>
          <w:b/>
          <w:bCs/>
          <w:sz w:val="24"/>
          <w:szCs w:val="24"/>
          <w:lang w:val="en-US"/>
        </w:rPr>
        <w:t xml:space="preserve">Task five </w:t>
      </w:r>
    </w:p>
    <w:p w14:paraId="4F777494" w14:textId="77777777" w:rsidR="003F09B1" w:rsidRPr="002C08D4" w:rsidRDefault="003F09B1" w:rsidP="003F09B1">
      <w:pPr>
        <w:spacing w:after="0" w:line="480" w:lineRule="auto"/>
        <w:rPr>
          <w:rFonts w:ascii="Times New Roman" w:hAnsi="Times New Roman"/>
          <w:b/>
          <w:bCs/>
          <w:sz w:val="24"/>
          <w:szCs w:val="24"/>
          <w:lang w:val="en-US"/>
        </w:rPr>
      </w:pPr>
      <w:bookmarkStart w:id="3" w:name="_Toc186282413"/>
      <w:r w:rsidRPr="002C08D4">
        <w:rPr>
          <w:rFonts w:ascii="Times New Roman" w:hAnsi="Times New Roman"/>
          <w:b/>
          <w:bCs/>
          <w:sz w:val="24"/>
          <w:szCs w:val="24"/>
          <w:lang w:val="en-US"/>
        </w:rPr>
        <w:t>Student Answer</w:t>
      </w:r>
      <w:bookmarkEnd w:id="3"/>
    </w:p>
    <w:p w14:paraId="34C03FC3"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Introduction</w:t>
      </w:r>
    </w:p>
    <w:p w14:paraId="4E5AE831"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lastRenderedPageBreak/>
        <w:t>Sustainability</w:t>
      </w:r>
      <w:r w:rsidRPr="002C08D4">
        <w:rPr>
          <w:rFonts w:ascii="Times New Roman" w:eastAsia="Times New Roman" w:hAnsi="Times New Roman"/>
          <w:bCs/>
          <w:sz w:val="24"/>
          <w:szCs w:val="24"/>
          <w:lang w:val="en-US"/>
        </w:rPr>
        <w:t xml:space="preserve"> </w:t>
      </w:r>
      <w:r w:rsidRPr="002C08D4">
        <w:rPr>
          <w:rFonts w:ascii="Times New Roman" w:eastAsia="Times New Roman" w:hAnsi="Times New Roman"/>
          <w:sz w:val="24"/>
          <w:szCs w:val="24"/>
          <w:lang w:val="en-US"/>
        </w:rPr>
        <w:t xml:space="preserve">evaluation frameworks are crucial for measuring the effectiveness of Linfox’s initiatives and can help guide future strategies. Linfox can assess its performance across all dimensions by using tools like ESG metrics and balanced scorecards. </w:t>
      </w:r>
    </w:p>
    <w:p w14:paraId="108A7D2A"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Application to Linfox Logistics</w:t>
      </w:r>
    </w:p>
    <w:p w14:paraId="2BF0742C"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The </w:t>
      </w:r>
      <w:proofErr w:type="spellStart"/>
      <w:r w:rsidRPr="002C08D4">
        <w:rPr>
          <w:rFonts w:ascii="Times New Roman" w:eastAsia="Times New Roman" w:hAnsi="Times New Roman"/>
          <w:sz w:val="24"/>
          <w:szCs w:val="24"/>
          <w:lang w:val="en-US"/>
        </w:rPr>
        <w:t>Greenfox</w:t>
      </w:r>
      <w:proofErr w:type="spellEnd"/>
      <w:r w:rsidRPr="002C08D4">
        <w:rPr>
          <w:rFonts w:ascii="Times New Roman" w:eastAsia="Times New Roman" w:hAnsi="Times New Roman"/>
          <w:sz w:val="24"/>
          <w:szCs w:val="24"/>
          <w:lang w:val="en-US"/>
        </w:rPr>
        <w:t xml:space="preserve"> program is essential to promoting sustainability efforts. Metrics that evaluate the specific impact of this program are crucial, such as metrics that assess particular effects, such as carbon emissions per </w:t>
      </w:r>
      <w:proofErr w:type="spellStart"/>
      <w:r w:rsidRPr="002C08D4">
        <w:rPr>
          <w:rFonts w:ascii="Times New Roman" w:eastAsia="Times New Roman" w:hAnsi="Times New Roman"/>
          <w:sz w:val="24"/>
          <w:szCs w:val="24"/>
          <w:lang w:val="en-US"/>
        </w:rPr>
        <w:t>kilometre</w:t>
      </w:r>
      <w:proofErr w:type="spellEnd"/>
      <w:r w:rsidRPr="002C08D4">
        <w:rPr>
          <w:rFonts w:ascii="Times New Roman" w:eastAsia="Times New Roman" w:hAnsi="Times New Roman"/>
          <w:sz w:val="24"/>
          <w:szCs w:val="24"/>
          <w:lang w:val="en-US"/>
        </w:rPr>
        <w:t xml:space="preserve"> and adoption rates of renewable energy in warehouses. Indicators such as the volume of food distributed and the number of beneficiaries served can be used to measure social initiatives such as </w:t>
      </w:r>
      <w:proofErr w:type="spellStart"/>
      <w:r w:rsidRPr="002C08D4">
        <w:rPr>
          <w:rFonts w:ascii="Times New Roman" w:eastAsia="Times New Roman" w:hAnsi="Times New Roman"/>
          <w:sz w:val="24"/>
          <w:szCs w:val="24"/>
          <w:lang w:val="en-US"/>
        </w:rPr>
        <w:t>fare</w:t>
      </w:r>
      <w:proofErr w:type="spellEnd"/>
      <w:r w:rsidRPr="002C08D4">
        <w:rPr>
          <w:rFonts w:ascii="Times New Roman" w:eastAsia="Times New Roman" w:hAnsi="Times New Roman"/>
          <w:sz w:val="24"/>
          <w:szCs w:val="24"/>
          <w:lang w:val="en-US"/>
        </w:rPr>
        <w:t xml:space="preserve"> share programs. </w:t>
      </w:r>
    </w:p>
    <w:p w14:paraId="42A59380"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Insights into the financial viability of these initiatives can be obtained from economic metrics such as cost savings from energy-efficient systems and growth of revenues from sustainability aligned with partnerships. These metrics can be integrated in a manner that allows the scorecard framework to be balanced to ensure a holistic view of Linfox's performance. </w:t>
      </w:r>
    </w:p>
    <w:p w14:paraId="65187555"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Linfox should adopt innovative tools like blockchain that enhance transparency. Blockchain technology ensures accuracy and credibility by enabling secure tracking of sustainability data. For example, blockchain can be used to verify sources of renewable energy and document reductions in supply chain emissions. </w:t>
      </w:r>
    </w:p>
    <w:p w14:paraId="765A23EE"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Another critical component is stakeholder engagement. Surveys and workshops can be used to gather qualitative feedback on the perceived impact of initiatives. These feedbacks complement quantitative data, therefore evaluating sustainability performance comprehensively.  </w:t>
      </w:r>
    </w:p>
    <w:p w14:paraId="7B214A6F"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Evaluation And Recommendation</w:t>
      </w:r>
    </w:p>
    <w:p w14:paraId="47317098"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Linfox must implement an evaluation framework with dynamism that adapts to evolving goals and external conditions. Regular audits can identify data reliability, which can help identify </w:t>
      </w:r>
      <w:r w:rsidRPr="002C08D4">
        <w:rPr>
          <w:rFonts w:ascii="Times New Roman" w:eastAsia="Times New Roman" w:hAnsi="Times New Roman"/>
          <w:sz w:val="24"/>
          <w:szCs w:val="24"/>
          <w:lang w:val="en-US"/>
        </w:rPr>
        <w:lastRenderedPageBreak/>
        <w:t xml:space="preserve">areas for improvement. Forecasting the future impact of current initiatives is crucial for proactive decision-making and can be identified through predictive analytics. </w:t>
      </w:r>
    </w:p>
    <w:p w14:paraId="4EB96331"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Establishing a feedback loop that integrates evaluation findings into strategic planning can help Linfox foster continuous improvement. Sharing results with stakeholders can enhance transparency, trust, and collaboration.</w:t>
      </w:r>
    </w:p>
    <w:p w14:paraId="391F1ED3"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Conclusion</w:t>
      </w:r>
    </w:p>
    <w:p w14:paraId="79EE5E30"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 xml:space="preserve">Linfox can align its operational practices with strategic goals by evaluating sustainability initiatives. By adopting comprehensive frameworks that leverage innovative tools, Linfox can ensure its initiatives deliver measurable and meaningful impacts. The student analysis provides specific applications for blockchain, which enhances transparency, and predictive analytics, which enhances proactive planning. These recommendations are more practical and can be used to improve the reliability and effectiveness of Linfox's sustainability evaluations. </w:t>
      </w:r>
    </w:p>
    <w:p w14:paraId="48A059F6" w14:textId="77777777" w:rsidR="003F09B1" w:rsidRPr="002C08D4" w:rsidRDefault="003F09B1" w:rsidP="003F09B1">
      <w:pPr>
        <w:spacing w:after="0" w:line="480" w:lineRule="auto"/>
        <w:rPr>
          <w:rFonts w:ascii="Times New Roman" w:eastAsia="Times New Roman" w:hAnsi="Times New Roman"/>
          <w:b/>
          <w:bCs/>
          <w:sz w:val="24"/>
          <w:szCs w:val="24"/>
          <w:lang w:val="en-US"/>
        </w:rPr>
      </w:pPr>
      <w:r w:rsidRPr="002C08D4">
        <w:rPr>
          <w:rFonts w:ascii="Times New Roman" w:eastAsia="Times New Roman" w:hAnsi="Times New Roman"/>
          <w:b/>
          <w:bCs/>
          <w:sz w:val="24"/>
          <w:szCs w:val="24"/>
          <w:lang w:val="en-US"/>
        </w:rPr>
        <w:t>Comparison</w:t>
      </w:r>
    </w:p>
    <w:p w14:paraId="4AA81C64" w14:textId="77777777" w:rsidR="003F09B1" w:rsidRPr="002C08D4" w:rsidRDefault="003F09B1" w:rsidP="003F09B1">
      <w:pPr>
        <w:spacing w:after="0" w:line="480" w:lineRule="auto"/>
        <w:ind w:firstLine="720"/>
        <w:rPr>
          <w:rFonts w:ascii="Times New Roman" w:eastAsia="Times New Roman" w:hAnsi="Times New Roman"/>
          <w:sz w:val="24"/>
          <w:szCs w:val="24"/>
          <w:lang w:val="en-US"/>
        </w:rPr>
      </w:pPr>
      <w:r w:rsidRPr="002C08D4">
        <w:rPr>
          <w:rFonts w:ascii="Times New Roman" w:eastAsia="Times New Roman" w:hAnsi="Times New Roman"/>
          <w:sz w:val="24"/>
          <w:szCs w:val="24"/>
          <w:lang w:val="en-US"/>
        </w:rPr>
        <w:t>AI analysis provides fundamental evaluation frameworks like ESG metrics and balanced scorecards. The student analysis provides specific applications for blockchain, which enhances transparency, and predictive analytics, which enhances proactive planning. These recommendations are more practical and can improve the reliability and effectiveness of Linfox's sustainability evaluations.</w:t>
      </w:r>
    </w:p>
    <w:p w14:paraId="64A600BE" w14:textId="77777777" w:rsidR="003F09B1" w:rsidRPr="003F09B1" w:rsidRDefault="003F09B1">
      <w:pPr>
        <w:rPr>
          <w:b/>
          <w:bCs/>
        </w:rPr>
      </w:pPr>
    </w:p>
    <w:sectPr w:rsidR="003F09B1" w:rsidRPr="003F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5D"/>
    <w:rsid w:val="0011200F"/>
    <w:rsid w:val="003F09B1"/>
    <w:rsid w:val="00486C1B"/>
    <w:rsid w:val="00B40AB2"/>
    <w:rsid w:val="00D3075D"/>
    <w:rsid w:val="00D3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49D9"/>
  <w15:chartTrackingRefBased/>
  <w15:docId w15:val="{03CCB57D-3BFA-443F-BBEF-44E1F8D0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5D"/>
    <w:pPr>
      <w:suppressAutoHyphens/>
      <w:autoSpaceDN w:val="0"/>
      <w:spacing w:line="249"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2025-01-04T17:22:00Z</dcterms:created>
  <dcterms:modified xsi:type="dcterms:W3CDTF">2025-01-04T17:30:00Z</dcterms:modified>
</cp:coreProperties>
</file>