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ttachedToolbars.bin" ContentType="application/vnd.ms-word.attachedToolbars"/>
  <Override PartName="/word/customizations.xml" ContentType="application/vnd.ms-word.keyMapCustomization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nts/font1.odttf" ContentType="application/vnd.openxmlformats-officedocument.obfuscatedFont"/>
  <Override PartName="/word/fonts/font2.odttf" ContentType="application/vnd.openxmlformats-officedocument.obfuscatedFont"/>
  <Override PartName="/word/fonts/font3.odttf" ContentType="application/vnd.openxmlformats-officedocument.obfuscatedFont"/>
  <Override PartName="/word/fonts/font4.odttf" ContentType="application/vnd.openxmlformats-officedocument.obfuscatedFont"/>
  <Override PartName="/word/fonts/font5.odttf" ContentType="application/vnd.openxmlformats-officedocument.obfuscatedFont"/>
  <Override PartName="/word/fonts/font6.odttf" ContentType="application/vnd.openxmlformats-officedocument.obfuscatedFont"/>
  <Override PartName="/word/fonts/font7.odttf" ContentType="application/vnd.openxmlformats-officedocument.obfuscatedFont"/>
  <Override PartName="/word/fonts/font8.odttf" ContentType="application/vnd.openxmlformats-officedocument.obfuscatedFont"/>
  <Override PartName="/word/footer1.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5" Type="http://schemas.openxmlformats.org/officeDocument/2006/relationships/officeDocument" Target="word/document.xml"/><Relationship Id="rId1" Type="http://schemas.openxmlformats.org/package/2006/relationships/metadata/thumbnail" Target="docProps/thumbnail.wmf"/><Relationship Id="rId3" Type="http://schemas.openxmlformats.org/package/2006/relationships/metadata/core-properties" Target="docProps/core.xml"/><Relationship Id="rId2"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46"/>
        <w:spacing w:beforeLines="0" w:afterLines="0" w:line="20" w:lineRule="exact"/>
        <w:rPr>
          <w:sz w:val="2"/>
          <w:szCs w:val="2"/>
        </w:rPr>
      </w:pPr>
      <w:bookmarkStart w:id="0" w:name="Text1PlaceHolder"/>
      <w:r>
        <w:rPr>
          <w:sz w:val="2"/>
          <w:szCs w:val="2"/>
        </w:rPr>
        <w:fldChar w:fldCharType="begin">
          <w:ffData>
            <w:name w:val="Text1PlaceHolder"/>
            <w:enabled/>
            <w:calcOnExit w:val="0"/>
            <w:textInput/>
          </w:ffData>
        </w:fldChar>
      </w:r>
      <w:r>
        <w:rPr>
          <w:sz w:val="2"/>
          <w:szCs w:val="2"/>
        </w:rPr>
        <w:instrText xml:space="preserve"> FORMTEXT </w:instrText>
      </w:r>
      <w:r>
        <w:rPr>
          <w:sz w:val="2"/>
          <w:szCs w:val="2"/>
        </w:rPr>
        <w:fldChar w:fldCharType="separate"/>
      </w:r>
      <w:r>
        <w:rPr>
          <w:sz w:val="2"/>
          <w:szCs w:val="2"/>
        </w:rPr>
        <w:t>     </w:t>
      </w:r>
      <w:r>
        <w:rPr>
          <w:sz w:val="2"/>
          <w:szCs w:val="2"/>
        </w:rPr>
        <w:fldChar w:fldCharType="end"/>
      </w:r>
      <w:bookmarkEnd w:id="0"/>
    </w:p>
    <w:p>
      <w:pPr>
        <w:keepNext w:val="0"/>
        <w:keepLines w:val="0"/>
        <w:widowControl/>
        <w:suppressLineNumbers w:val="0"/>
        <w:jc w:val="center"/>
      </w:pPr>
      <w:r>
        <w:rPr>
          <w:rFonts w:ascii="FandolHei-Regular" w:hAnsi="FandolHei-Regular" w:eastAsia="FandolHei-Regular" w:cs="FandolHei-Regular"/>
          <w:color w:val="000000"/>
          <w:kern w:val="0"/>
          <w:sz w:val="44"/>
          <w:szCs w:val="44"/>
          <w:lang w:val="en-US" w:eastAsia="zh-CN" w:bidi="ar"/>
        </w:rPr>
        <w:t>跨维能量跌落宇宙纲领：基于维度界面动力</w:t>
      </w:r>
    </w:p>
    <w:p>
      <w:pPr>
        <w:keepNext w:val="0"/>
        <w:keepLines w:val="0"/>
        <w:widowControl/>
        <w:suppressLineNumbers w:val="0"/>
        <w:jc w:val="center"/>
      </w:pPr>
      <w:r>
        <w:rPr>
          <w:rFonts w:hint="default" w:ascii="FandolHei-Regular" w:hAnsi="FandolHei-Regular" w:eastAsia="FandolHei-Regular" w:cs="FandolHei-Regular"/>
          <w:color w:val="000000"/>
          <w:kern w:val="0"/>
          <w:sz w:val="44"/>
          <w:szCs w:val="44"/>
          <w:lang w:val="en-US" w:eastAsia="zh-CN" w:bidi="ar"/>
        </w:rPr>
        <w:t>学的统一宇宙学框架</w:t>
      </w:r>
    </w:p>
    <w:p>
      <w:pPr>
        <w:keepNext w:val="0"/>
        <w:keepLines w:val="0"/>
        <w:widowControl/>
        <w:suppressLineNumbers w:val="0"/>
        <w:jc w:val="center"/>
      </w:pPr>
      <w:r>
        <w:rPr>
          <w:rFonts w:ascii="FandolSong-Regular" w:hAnsi="FandolSong-Regular" w:eastAsia="FandolSong-Regular" w:cs="FandolSong-Regular"/>
          <w:color w:val="000000"/>
          <w:kern w:val="0"/>
          <w:sz w:val="24"/>
          <w:szCs w:val="24"/>
          <w:lang w:val="en-US" w:eastAsia="zh-CN" w:bidi="ar"/>
        </w:rPr>
        <w:t>董毅</w:t>
      </w:r>
      <w:bookmarkStart w:id="1" w:name="bkTelphone"/>
      <w:bookmarkEnd w:id="1"/>
      <w:bookmarkStart w:id="2" w:name="bkPostcode"/>
      <w:bookmarkEnd w:id="2"/>
      <w:bookmarkStart w:id="3" w:name="bkMobile"/>
      <w:bookmarkEnd w:id="3"/>
      <w:bookmarkStart w:id="4" w:name="bkFund"/>
      <w:bookmarkEnd w:id="4"/>
      <w:bookmarkStart w:id="5" w:name="bkIntroduction"/>
      <w:bookmarkEnd w:id="5"/>
      <w:bookmarkStart w:id="6" w:name="bkEmail"/>
      <w:bookmarkEnd w:id="6"/>
      <w:bookmarkStart w:id="7" w:name="bkContact"/>
      <w:bookmarkEnd w:id="7"/>
      <w:bookmarkStart w:id="8" w:name="bkCompanyEN"/>
      <w:bookmarkEnd w:id="8"/>
      <w:bookmarkStart w:id="9" w:name="bkCompanyCHN"/>
      <w:bookmarkEnd w:id="9"/>
      <w:bookmarkStart w:id="10" w:name="bkAddress"/>
      <w:bookmarkEnd w:id="10"/>
      <w:bookmarkStart w:id="11" w:name="bkAuthorEN"/>
      <w:bookmarkEnd w:id="11"/>
      <w:bookmarkStart w:id="12" w:name="bkAuthorCHN"/>
      <w:bookmarkEnd w:id="12"/>
    </w:p>
    <w:p>
      <w:pPr>
        <w:pStyle w:val="48"/>
        <w:rPr>
          <w:lang w:eastAsia="zh-CN"/>
        </w:rPr>
      </w:pPr>
      <w:bookmarkStart w:id="13" w:name="bkAuthorNameCHN"/>
      <w:r>
        <w:rPr>
          <w:lang w:eastAsia="zh-CN"/>
        </w:rPr>
        <w:fldChar w:fldCharType="begin"/>
      </w:r>
      <w:r>
        <w:rPr>
          <w:lang w:eastAsia="zh-CN"/>
        </w:rPr>
        <w:fldChar w:fldCharType="separate"/>
      </w:r>
      <w:r>
        <w:t>董毅</w:t>
      </w:r>
      <w:r>
        <w:rPr>
          <w:vertAlign w:val="superscript"/>
        </w:rPr>
        <w:t>1</w:t>
      </w:r>
      <w:r>
        <w:rPr>
          <w:lang w:eastAsia="zh-CN"/>
        </w:rPr>
        <w:fldChar w:fldCharType="end"/>
      </w:r>
      <w:bookmarkEnd w:id="13"/>
      <w:bookmarkStart w:id="14" w:name="bkAuthorsInfo"/>
      <w:bookmarkEnd w:id="14"/>
      <w:r>
        <w:rPr>
          <w:rFonts w:hint="eastAsia"/>
          <w:lang w:eastAsia="zh-CN"/>
        </w:rPr>
        <w:t xml:space="preserve"> </w:t>
      </w:r>
    </w:p>
    <w:p>
      <w:pPr>
        <w:pStyle w:val="44"/>
      </w:pPr>
      <w:r>
        <w:t>（济南立心数字科技有限公司，济南　250000）</w:t>
      </w:r>
      <w:bookmarkStart w:id="15" w:name="bkAuthorAffilCHN"/>
      <w:bookmarkEnd w:id="15"/>
    </w:p>
    <w:p>
      <w:pPr>
        <w:pStyle w:val="38"/>
        <w:spacing w:line="240" w:lineRule="auto"/>
        <w:sectPr>
          <w:headerReference r:id="rId5" w:type="default"/>
          <w:footerReference r:id="rId6" w:type="default"/>
          <w:pgSz w:w="11906" w:h="16838"/>
          <w:pgMar w:top="1440" w:right="1797" w:bottom="1440" w:left="1797" w:header="981" w:footer="992" w:gutter="0"/>
          <w:lnNumType w:countBy="5" w:distance="680" w:restart="continuous"/>
          <w:cols w:space="425" w:num="1"/>
          <w:docGrid w:linePitch="312" w:charSpace="0"/>
        </w:sectPr>
      </w:pPr>
      <w:r>
        <w:fldChar w:fldCharType="begin"/>
      </w:r>
      <w:r>
        <w:instrText xml:space="preserve">SET version "2.0" \* MERGEFORMAT</w:instrText>
      </w:r>
      <w:r>
        <w:fldChar w:fldCharType="separate"/>
      </w:r>
      <w:bookmarkStart w:id="16" w:name="version"/>
      <w:r>
        <w:t>2.0</w:t>
      </w:r>
      <w:bookmarkEnd w:id="16"/>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SET version "2.0" \* MERGEFORMAT</w:instrText>
      </w:r>
      <w:r>
        <w:fldChar w:fldCharType="separate"/>
      </w:r>
      <w:r>
        <w:t>2.0</w:t>
      </w:r>
      <w:r>
        <w:fldChar w:fldCharType="end"/>
      </w:r>
      <w:r>
        <w:fldChar w:fldCharType="begin"/>
      </w:r>
      <w:r>
        <w:instrText xml:space="preserve"> SET bkReferencesInfo "1*|*期刊*|*Planck Collaboration. Planck 2018 results. VI. Cosmological parameters[J]. Astronomy &amp; Astrophysics, 2020, 641: A6.&lt;CR&gt;2*|*专著*|*Oerter R. The Theory of Almost Everything: The Standard Model, the Unsung Triumph of Modern Physics[M]. Penguin Books, 2006.&lt;CR&gt;3*|*专著*|*Weinberg S. Gravitation and Cosmology: Principles and Applications of the General Theory of Relativity[M]. Wiley, 1972.&lt;CR&gt;4*|*专著*|*Rovelli C. Quantum Gravity[M]. Cambridge University Press, 2004.&lt;CR&gt;5*|*专著*|*Peebles P J E. Principles of Physical Cosmology[M]. Princeton University Press, 1993.&lt;CR&gt;6*|*期刊*|*Bell J S. On the Einstein Podolsky Rosen paradox[J]. Physics Physique Fizika, 1964, 1(3): 195-200.&lt;CR&gt;7*|*专著*|*Zeilinger A. Dance of the Photons: From Einstein to Quantum Teleportation[M]. Farrar, Straus and Giroux, 2010.&lt;CR&gt;8*|*专著*|*Smolin L. The Trouble with Physics: The Rise of String Theory, the Fall of a Science, and What Comes Next[M]. Houghton Mifflin Harcourt, 2006.&lt;CR&gt;9*|*期刊*|*Witten E. String theory dynamics in various dimensions[J]. Nuclear Physics B, 1995, 443(1): 85-126.&lt;CR&gt;10*|*专著*|*Landau L D, Lifshitz E M. Statistical Physics Part 1[M]. Pergamon Press, 1980.&lt;CR&gt;11*|*期刊*|*Noether E. Invariante Variationsprobleme[J]. Nachrichten von der Gesellschaft der Wissenschaften zu Göttingen, Mathematisch-Physikalische Klasse, 1918: 235-257.&lt;CR&gt;12*|*期刊*|*Friedmann A. Über die Krümmung des Raumes[J]. Zeitschrift für Physik, 1922, 10(1): 377-386.&lt;CR&gt;13*|*期刊*|*Hubble E P. A relation between distance and radial velocity among extra-galactic nebulae[J]. Proceedings of the National Academy of Sciences, 1929, 15(3): 168-173.&lt;CR&gt;14*|*期刊*|*Guth A H. Inflationary universe: A possible solution to the horizon and flatness problems[J]. Physical Review D, 1981, 23(2): 347-356.&lt;CR&gt;15*|*期刊*|*Linde A D. A new inflationary universe scenario: A possible solution of the horizon, flatness, homogeneity, isotropy and primordial monopole problems[J]. Physics Letters B, 1982, 108(6): 389-393.&lt;CR&gt;16*|*期刊*|*Penzias A A, Wilson R W. A measurement of excess antenna temperature at 4080 Mc/s[J]. The Astrophysical Journal, 1965, 142: 419-421.&lt;CR&gt;17*|*期刊*|*Smoot G F, et al. Structure in the COBE differential microwave radiometer first-year maps[J]. The Astrophysical Journal Letters, 1992, 396(1): L1-L5.&lt;CR&gt;18*|*期刊*|*Komatsu E, et al. Seven-year Wilkinson Microwave Anisotropy Probe (WMAP) observations: cosmological interpretation[J]. The Astrophysical Journal Supplement Series, 2011, 192(2): 18.&lt;CR&gt;19*|*专著*|*Griffiths D J. Introduction to Elementary Particles[M]. Wiley-VCH, 2008.&lt;CR&gt;20*|*专著*|*Perkins D H. Introduction to High Energy Physics[M]. Cambridge University Press, 2000.&lt;CR&gt;21*|*专著*|*Chandrasekhar S. The Mathematical Theory of Black Holes[M]. Oxford University Press, 1983.&lt;CR&gt;22*|*专著*|*Jackson J D. Classical Electrodynamics[M]. Wiley, 1998.&lt;CR&gt;23*|*期刊*|*Yukawa H. On the interaction of elementary particles[J]. Proceedings of the Physico-Mathematical Society of Japan, 1935, 17: 48-57.&lt;CR&gt;24*|*专著*|*Halzen F, Martin A D. Quarks and Leptons: An Introductory Course in Modern Particle Physics[M]. Wiley, 1984.&lt;CR&gt;25*|*期刊*|*Hawking S W. Black hole explosions?[J]. Nature, 1974, 248(5443): 30-31.&lt;CR&gt;26*|*期刊*|*Rubin V C, Ford W K, Thonnard N. Rotation of the Andromeda Nebula from a spectroscopic survey of emission regions[J]. The Astrophysical Journal, 1980, 238: 471-487.&lt;CR&gt;27*|*期刊*|*Bertone G, Hooper D, Silk J. Particle dark matter: evidence, candidates and constraints[J]. Physics Reports, 2005, 405(5-6): 279-390.&lt;CR&gt;28*|*期刊*|*Weinberg S. A model of leptons[J]. Physical Review Letters, 1967, 19(21): 1264-1266.&lt;CR&gt;29*|*期刊*|*Wilczek F. Origin of mass[J]. Proceedings of the National Academy of Sciences, 2004, 101(23): 8403-8410.&lt;CR&gt;30*|*期刊*|*Shannon C E. Communication in the presence of noise[J]. Proceedings of the IRE, 1949, 37(1): 10-21.&lt;CR&gt;31*|*期刊*|*Zeilinger A. The principle of complementarity in quantum physics[J]. Reviews of Modern Physics, 2000, 72(2): 288-305.&lt;CR&gt;32*|*专著*|*Feynman R P, Leighton R B, Sands M. The Feynman Lectures on Physics[M]. Addison-Wesley, 1963.&lt;CR&gt;33*|*专著*|*Wheeler J A, Zurek W H. Quantum Theory and Measurement[M]. Princeton University Press, 1983.&lt;CR&gt;34*|*期刊*|*Aspect A, Dalibard J, Roger G. Experimental test of Bell's inequalities using time-varying analyzers[J]. Physical Review Letters, 1982, 49(25): 1804-1807.&lt;CR&gt;35*|*期刊*|*Brassard G, et al. A review of some aspects of Bell's theorem[J]. Foundations of Physics, 2000, 30(11): 1601-1623.&lt;CR&gt;36*|*期刊*|*Gill R D. Bell's theorem: what it takes to prove it[J]. Statistical Science, 2014, 29(4): 512-528.&lt;CR&gt;37*|*期刊*|*Kaiser N. Weak gravitational lensing[J]. Annual Review of Astronomy and Astrophysics, 1992, 30: 311-348.&lt;CR&gt;38*|*期刊*|*DES Collaboration. Dark Energy Survey Year 3 results: Cosmological constraints from weak lensing and galaxy clustering[J]. Physical Review D, 2021, 104(12): 123529.&lt;CR&gt;39*|*期刊*|*Burbidge E M, Burbidge G R, Fowler W A, Hoyle F. Synthesis of the elements in stars[J]. Reviews of Modern Physics, 1957, 29(4): 547-650.&lt;CR&gt;40*|*期刊*|*Coc A, Vangioni E. Primordial nucleosynthesis[J]. International Journal of Modern Physics E, 2015, 24(08): 1530008.&lt;CR&gt;41*|*专著*|*Popper K R. The Logic of Scientific Discovery[M]. Routledge, 1959.&lt;CR&gt;42*|*专著*|*Kuhn T S. The Structure of Scientific Revolutions[M]. University of Chicago Press, 1962." \* MERGEFORMAT </w:instrText>
      </w:r>
      <w:r>
        <w:fldChar w:fldCharType="separate"/>
      </w:r>
      <w:bookmarkStart w:id="17" w:name="bkReferencesInfo"/>
      <w:bookmarkEnd w:id="17"/>
      <w:r>
        <w:t xml:space="preserve">1*|*期刊*|*Planck Collaboration. Planck 2018 results. VI. Cosmological parameters[J]. Astronomy &amp; Astrophysics, 2020, 641: A6.&lt;CR&gt;2*|*专著*|*Oerter R. The Theory of Almost Everything: The Standard Model, the Unsung Triumph of Modern Physics[M]. Penguin Books, 2006.&lt;CR&gt;3*|*专著*|*Weinberg S. Gravitation and Cosmology: Principles and Applications of the General Theory of Relativity[M]. Wiley, 1972.&lt;CR&gt;4*|*专著*|*Rovelli C. Quantum Gravity[M]. Cambridge University Press, 2004.&lt;CR&gt;5*|*专著*|*Peebles P J E. Principles of Physical Cosmology[M]. Princeton University Press, 1993.&lt;CR&gt;6*|*期刊*|*Bell J S. On the Einstein Podolsky Rosen paradox[J]. Physics Physique Fizika, 1964, 1(3): 195-200.&lt;CR&gt;7*|*专著*|*Zeilinger A. Dance of the Photons: From Einstein to Quantum Teleportation[M]. Farrar, Straus and Giroux, 2010.&lt;CR&gt;8*|*专著*|*Smolin L. The Trouble with Physics: The Rise of String Theory, the Fall of a Science, and What Comes Next[M]. Houghton Mifflin Harcourt, 2006.&lt;CR&gt;9*|*期刊*|*Witten E. String theory dynamics in various dimensions[J]. Nuclear Physics B, 1995, 443(1): 85-126.&lt;CR&gt;10*|*专著*|*Landau L D, Lifshitz E M. Statistical Physics Part 1[M]. Pergamon Press, 1980.&lt;CR&gt;11*|*期刊*|*Noether E. Invariante Variationsprobleme[J]. Nachrichten von der Gesellschaft der Wissenschaften zu Göttingen, Mathematisch-Physikalische Klasse, 1918: 235-257.&lt;CR&gt;12*|*期刊*|*Friedmann A. Über die Krümmung des Raumes[J]. Zeitschrift für Physik, 1922, 10(1): 377-386.&lt;CR&gt;13*|*期刊*|*Hubble E P. A relation between distance and radial velocity among extra-galactic nebulae[J]. Proceedings of the National Academy of Sciences, 1929, 15(3): 168-173.&lt;CR&gt;14*|*期刊*|*Guth A H. Inflationary universe: A possible solution to the horizon and flatness problems[J]. Physical Review D, 1981, 23(2): 347-356.&lt;CR&gt;15*|*期刊*|*Linde A D. A new inflationary universe scenario: A possible solution of the horizon, flatness, homogeneity, isotropy and primordial monopole problems[J]. Physics Letters B, 1982, 108(6): 389-393.&lt;CR&gt;16*|*期刊*|*Penzias A A, Wilson R W. A measurement of excess antenna temperature at 4080 Mc/s[J]. The Astrophysical Journal, 1965, 142: 419-421.&lt;CR&gt;17*|*期刊*|*Smoot G F, et al. Structure in the COBE differential microwave radiometer first-year maps[J]. The Astrophysical Journal Letters, 1992, 396(1): L1-L5.&lt;CR&gt;18*|*期刊*|*Komatsu E, et al. Seven-year Wilkinson Microwave Anisotropy Probe (WMAP) observations: cosmological interpretation[J]. The Astrophysical Journal Supplement Series, 2011, 192(2): 18.&lt;CR&gt;19*|*专著*|*Griffiths D J. Introduction to Elementary Particles[M]. Wiley-VCH, 2008.&lt;CR&gt;20*|*专著*|*Perkins D H. Introduction to High Energy Physics[M]. Cambridge University Press, 2000.&lt;CR&gt;21*|*专著*|*Chandrasekhar S. The Mathematical Theory of Black Holes[M]. Oxford University Press, 1983.&lt;CR&gt;22*|*专著*|*Jackson J D. Classical Electrodynamics[M]. Wiley, 1998.&lt;CR&gt;23*|*期刊*|*Yukawa H. On the interaction of elementary particles[J]. Proceedings of the Physico-Mathematical Society of Japan, 1935, 17: 48-57.&lt;CR&gt;24*|*专著*|*Halzen F, Martin A D. Quarks and Leptons: An Introductory Course in Modern Particle Physics[M]. Wiley, 1984.&lt;CR&gt;25*|*期刊*|*Hawking S W. Black hole explosions?[J]. Nature, 1974, 248(5443): 30-31.&lt;CR&gt;26*|*期刊*|*Rubin V C, Ford W K, Thonnard N. Rotation of the Andromeda Nebula from a spectroscopic survey of emission regions[J]. The Astrophysical Journal, 1980, 238: 471-487.&lt;CR&gt;27*|*期刊*|*Bertone G, Hooper D, Silk J. Particle dark matter: evidence, candidates and constraints[J]. Physics Reports, 2005, 405(5-6): 279-390.&lt;CR&gt;28*|*期刊*|*Weinberg S. A model of leptons[J]. Physical Review Letters, 1967, 19(21): 1264-1266.&lt;CR&gt;29*|*期刊*|*Wilczek F. Origin of mass[J]. Proceedings of the National Academy of Sciences, 2004, 101(23): 8403-8410.&lt;CR&gt;30*|*期刊*|*Shannon C E. Communication in the presence of noise[J]. Proceedings of the IRE, 1949, 37(1): 10-21.&lt;CR&gt;31*|*期刊*|*Zeilinger A. The principle of complementarity in quantum physics[J]. Reviews of Modern Physics, 2000, 72(2): 288-305.&lt;CR&gt;32*|*专著*|*Feynman R P, Leighton R B, Sands M. The Feynman Lectures on </w:t>
      </w:r>
      <w:r>
        <w:t>Physics[M]. Addison-Wesley, 1963.&lt;CR&gt;33*|*专著*|*Wheeler J A, Zurek W H. Quantum Theory and Measurement[M]. Princeton University Press, 1983.&lt;CR&gt;34*|*期刊*|*Aspect A, Dalibard J, Roger G. Experimental test of Bell's inequalities using time-varying analyzers[J]. Physical Review Letters, 1982, 49(25): 1804-1807.&lt;CR&gt;35*|*期刊*|*Brassard G, et al. A review of some aspects of Bell's theorem[J]. Foundations of Physics, 2000, 30(11): 1601-1623.&lt;CR&gt;36*|*期刊*|*Gill R D. Bell's theorem: what it takes to prove it[J]. Statistical Science, 2014, 29(4): 512-528.&lt;CR&gt;37*|*期刊*|*Kaiser N. Weak gravitational lensing[J]. Annual Review of Astronomy and Astrophysics, 1992, 30: 311-348.&lt;CR&gt;38*|*期刊*|*DES Collaboration. Dark Energy Survey Year 3 results: Cosmological constraints from weak lensing and galaxy clustering[J]. Physical Review D, 2021, 104(12): 123529.&lt;CR&gt;39*|*期刊*|*Burbidge E M, Burbidge G R, Fowler W A, Hoyle F. Synthesis of the elements in stars[J]. Reviews of Modern Physics, 1957, 29(4): 547-650.&lt;CR&gt;40*|*期刊*|*Coc A, Vangioni E. Primordial nucleosynthesis[J]. International Journal of Modern Physics E, 2015, 24(08): 1530008.&lt;CR&gt;41*|*专著*|*Popper K R. The Logic of Scientific Discovery[M]. Routledge, 1959.&lt;CR&gt;42*|*专著*|*Kuhn T S. The Structure of Scientific Revolutions[M]. University of Chicago Press, 1962.</w:t>
      </w:r>
      <w:r>
        <w:fldChar w:fldCharType="end"/>
      </w:r>
      <w:r>
        <w:fldChar w:fldCharType="begin"/>
      </w:r>
      <w:r>
        <w:instrText xml:space="preserve"> SET bkTitleInfo "跨维能量跌落宇宙纲领：基于维度界面动力学的统一宇宙学框架|Trans-dimensional Energy Descent Cosmology Program: A Unified Cosmological Framework Based on Dimensional-Interface Dynamics|" \* MERGEFORMAT </w:instrText>
      </w:r>
      <w:r>
        <w:fldChar w:fldCharType="separate"/>
      </w:r>
      <w:bookmarkStart w:id="18" w:name="bkTitleInfo"/>
      <w:bookmarkEnd w:id="18"/>
      <w:r>
        <w:t>跨维能量跌落宇宙纲领：基于维度界面动力学的统一宇宙学框架|Trans-dimensional Energy Descent Cosmology Program: A Unified Cosmological Framework Based on Dimensional-Interface Dynamics|</w:t>
      </w:r>
      <w:r>
        <w:fldChar w:fldCharType="end"/>
      </w:r>
      <w:r>
        <w:fldChar w:fldCharType="begin"/>
      </w:r>
      <w:r>
        <w:instrText xml:space="preserve">SET bkAuthorsInfo "|1|董毅|DONG Yi|济南立心数字科技有限公司|Jinan Lixin Digital Technology Co., Ltd.|董毅，主要研究方向：基础物理理论、宇宙学理论建模。|济南|250000|||" \* MERGEFORMAT</w:instrText>
      </w:r>
      <w:r>
        <w:fldChar w:fldCharType="separate"/>
      </w:r>
      <w:r>
        <w:t>|1|董毅|DONG Yi|济南立心数字科技有限公司|Jinan Lixin Digital Technology Co., Ltd.|董毅，主要研究方向：基础物理理论、宇宙学理论建模。|济南|250000|||</w:t>
      </w:r>
      <w:r>
        <w:fldChar w:fldCharType="end"/>
      </w:r>
    </w:p>
    <w:p>
      <w:pPr>
        <w:pStyle w:val="47"/>
        <w:spacing w:line="240" w:lineRule="auto"/>
      </w:pPr>
      <w:r>
        <w:rPr>
          <w:rStyle w:val="42"/>
          <w:rFonts w:ascii="黑体" w:hAnsi="黑体"/>
          <w:b/>
        </w:rPr>
        <w:t>摘要</w:t>
      </w:r>
      <w:r>
        <w:rPr>
          <w:rStyle w:val="42"/>
          <w:rFonts w:ascii="黑体" w:hAnsi="黑体"/>
        </w:rPr>
        <w:t>：</w:t>
      </w:r>
      <w:r>
        <w:t>针对ΛCDM宇宙学模型与粒子物理标准模型存在的底层矛盾，本文提出一套基于高维能量跨维跌落与维度界面张力的统一宇宙学研究纲领。以4条基础公理为出发点，将光速定义为高维能量向三维空间跌落的本征界面速度，把质量解释为跌落能量受三维空间碰撞阻滞后的稳态效应，给出质能关系的动力学诠释。将宇宙大爆炸解释为四维向三维喷射能量的白洞通道，用能量拥挤阻滞机制解释宇宙早期物质生成与暴涨现象；把引力、电磁力、核力理解为跨维张力在不同尺度下的派生效应；利用高维客体三维投影模型解释量子表观随机性与量子纠缠效应。文中给出一阶唯象动力学方程组以及三项可观测判别预言。本纲领属于本体论层面理论探索框架，兼容现有物理理论的适用域，以更少特设假设打通微观、宏观与宇宙尺度物理图像，可为后续定量建模与实验检验提供新思路。</w:t>
      </w:r>
      <w:bookmarkStart w:id="19" w:name="bkAbstractCHN"/>
      <w:bookmarkEnd w:id="19"/>
    </w:p>
    <w:p>
      <w:pPr>
        <w:pStyle w:val="45"/>
        <w:spacing w:line="240" w:lineRule="auto"/>
      </w:pPr>
      <w:r>
        <w:rPr>
          <w:rStyle w:val="42"/>
          <w:rFonts w:ascii="黑体" w:hAnsi="黑体"/>
          <w:b/>
        </w:rPr>
        <w:t>关键词</w:t>
      </w:r>
      <w:r>
        <w:rPr>
          <w:rStyle w:val="42"/>
          <w:rFonts w:ascii="黑体" w:hAnsi="黑体"/>
        </w:rPr>
        <w:t>：</w:t>
      </w:r>
      <w:r>
        <w:t>宇宙学；跨维动力学；宇宙起源；质能转换；量子纠缠；暗物质效应；维度界面张力</w:t>
      </w:r>
      <w:bookmarkStart w:id="20" w:name="bkKeywordsCHN"/>
      <w:bookmarkEnd w:id="20"/>
    </w:p>
    <w:p>
      <w:pPr>
        <w:pStyle w:val="40"/>
        <w:spacing w:line="240" w:lineRule="auto"/>
        <w:sectPr>
          <w:type w:val="continuous"/>
          <w:pgSz w:w="11906" w:h="16838"/>
          <w:pgMar w:top="1440" w:right="1797" w:bottom="1440" w:left="1797" w:header="981" w:footer="992" w:gutter="0"/>
          <w:lnNumType w:countBy="5" w:distance="680" w:restart="continuous"/>
          <w:cols w:space="425" w:num="1"/>
          <w:docGrid w:linePitch="312" w:charSpace="0"/>
        </w:sectPr>
      </w:pPr>
      <w:r>
        <w:rPr>
          <w:rStyle w:val="42"/>
          <w:rFonts w:ascii="黑体" w:hAnsi="黑体"/>
          <w:b/>
        </w:rPr>
        <w:t>中图分类号</w:t>
      </w:r>
      <w:r>
        <w:rPr>
          <w:rStyle w:val="42"/>
          <w:rFonts w:ascii="黑体" w:hAnsi="黑体"/>
        </w:rPr>
        <w:t>：</w:t>
      </w:r>
      <w:r>
        <w:t>P159</w:t>
      </w:r>
      <w:bookmarkStart w:id="21" w:name="bkISBN"/>
      <w:bookmarkEnd w:id="21"/>
    </w:p>
    <w:p>
      <w:pPr>
        <w:pStyle w:val="39"/>
      </w:pPr>
      <w:r>
        <w:fldChar w:fldCharType="begin"/>
      </w:r>
      <w:r>
        <w:instrText xml:space="preserve">SET bkAuthorsInfo "|1|董毅|DONG Yi|济南立心数字科技有限公司|Jinan Lixin Digital Technology Co., Ltd.|董毅，主要研究方向：基础物理理论、宇宙学理论建模。|济南|250000|||" \* MERGEFORMAT</w:instrText>
      </w:r>
      <w:r>
        <w:fldChar w:fldCharType="separate"/>
      </w:r>
      <w:r>
        <w:t>|1|董毅|DONG Yi|济南立心数字科技有限公司|Jinan Lixin Digital Technology Co., Ltd.|董毅，主要研究方向：基础物理理论、宇宙学理论建模。|济南|250000|||</w:t>
      </w:r>
      <w:r>
        <w:fldChar w:fldCharType="end"/>
      </w:r>
      <w:r>
        <w:fldChar w:fldCharType="begin"/>
      </w:r>
      <w:r>
        <w:instrText xml:space="preserve">SET bkTitleInfo "跨维能量跌落宇宙纲领：基于维度界面动力学的统一宇宙学框架|Trans-dimensional Energy Descent Cosmology Program: A Unified Cosmological Framework Based on Dimensional-Interface Dynamics|" \* MERGEFORMAT</w:instrText>
      </w:r>
      <w:r>
        <w:fldChar w:fldCharType="separate"/>
      </w:r>
      <w:r>
        <w:t>跨维能量跌落宇宙纲领：基于维度界面动力学的统一宇宙学框架|Trans-dimensional Energy Descent Cosmology Program: A Unified Cosmological Framework Based on Dimensional-Interface Dynamics|</w:t>
      </w:r>
      <w:r>
        <w:fldChar w:fldCharType="end"/>
      </w:r>
    </w:p>
    <w:p>
      <w:pPr>
        <w:keepNext w:val="0"/>
        <w:keepLines w:val="0"/>
        <w:widowControl/>
        <w:suppressLineNumbers w:val="0"/>
        <w:jc w:val="center"/>
      </w:pPr>
      <w:r>
        <w:rPr>
          <w:rFonts w:ascii="LMRoman17-Regular" w:hAnsi="LMRoman17-Regular" w:eastAsia="LMRoman17-Regular" w:cs="LMRoman17-Regular"/>
          <w:color w:val="000000"/>
          <w:kern w:val="0"/>
          <w:sz w:val="44"/>
          <w:szCs w:val="44"/>
          <w:lang w:val="en-US" w:eastAsia="zh-CN" w:bidi="ar"/>
        </w:rPr>
        <w:t>Trans</w:t>
      </w:r>
      <w:r>
        <w:rPr>
          <w:rFonts w:ascii="LMRoman17-Regular" w:hAnsi="LMRoman17-Regular" w:eastAsia="LMRoman17-Regular" w:cs="LMRoman17-Regular"/>
          <w:color w:val="000000"/>
          <w:kern w:val="0"/>
          <w:sz w:val="44"/>
          <w:szCs w:val="44"/>
          <w:lang w:val="en-US" w:eastAsia="zh-CN" w:bidi="ar"/>
        </w:rPr>
        <w:noBreakHyphen/>
      </w:r>
      <w:r>
        <w:rPr>
          <w:rFonts w:ascii="LMRoman17-Regular" w:hAnsi="LMRoman17-Regular" w:eastAsia="LMRoman17-Regular" w:cs="LMRoman17-Regular"/>
          <w:color w:val="000000"/>
          <w:kern w:val="0"/>
          <w:sz w:val="44"/>
          <w:szCs w:val="44"/>
          <w:lang w:val="en-US" w:eastAsia="zh-CN" w:bidi="ar"/>
        </w:rPr>
        <w:t>dimensional Energy Descent Cosmology</w:t>
      </w:r>
      <w:r>
        <w:rPr>
          <w:rFonts w:hint="eastAsia" w:ascii="LMRoman17-Regular" w:hAnsi="LMRoman17-Regular" w:eastAsia="LMRoman17-Regular" w:cs="LMRoman17-Regular"/>
          <w:color w:val="000000"/>
          <w:kern w:val="0"/>
          <w:sz w:val="44"/>
          <w:szCs w:val="44"/>
          <w:lang w:val="en-US" w:eastAsia="zh-CN" w:bidi="ar"/>
        </w:rPr>
        <w:t xml:space="preserve"> </w:t>
      </w:r>
      <w:r>
        <w:rPr>
          <w:rFonts w:hint="default" w:ascii="LMRoman17-Regular" w:hAnsi="LMRoman17-Regular" w:eastAsia="LMRoman17-Regular" w:cs="LMRoman17-Regular"/>
          <w:color w:val="000000"/>
          <w:kern w:val="0"/>
          <w:sz w:val="44"/>
          <w:szCs w:val="44"/>
          <w:lang w:val="en-US" w:eastAsia="zh-CN" w:bidi="ar"/>
        </w:rPr>
        <w:t>Program: A Unified Cosmological Framework</w:t>
      </w:r>
      <w:r>
        <w:rPr>
          <w:rFonts w:hint="eastAsia" w:ascii="LMRoman17-Regular" w:hAnsi="LMRoman17-Regular" w:eastAsia="LMRoman17-Regular" w:cs="LMRoman17-Regular"/>
          <w:color w:val="000000"/>
          <w:kern w:val="0"/>
          <w:sz w:val="44"/>
          <w:szCs w:val="44"/>
          <w:lang w:val="en-US" w:eastAsia="zh-CN" w:bidi="ar"/>
        </w:rPr>
        <w:t xml:space="preserve"> </w:t>
      </w:r>
      <w:r>
        <w:rPr>
          <w:rFonts w:hint="default" w:ascii="LMRoman17-Regular" w:hAnsi="LMRoman17-Regular" w:eastAsia="LMRoman17-Regular" w:cs="LMRoman17-Regular"/>
          <w:color w:val="000000"/>
          <w:kern w:val="0"/>
          <w:sz w:val="44"/>
          <w:szCs w:val="44"/>
          <w:lang w:val="en-US" w:eastAsia="zh-CN" w:bidi="ar"/>
        </w:rPr>
        <w:t>Based on Dimensional</w:t>
      </w:r>
      <w:r>
        <w:rPr>
          <w:rFonts w:hint="default" w:ascii="LMRoman17-Regular" w:hAnsi="LMRoman17-Regular" w:eastAsia="LMRoman17-Regular" w:cs="LMRoman17-Regular"/>
          <w:color w:val="000000"/>
          <w:kern w:val="0"/>
          <w:sz w:val="44"/>
          <w:szCs w:val="44"/>
          <w:lang w:val="en-US" w:eastAsia="zh-CN" w:bidi="ar"/>
        </w:rPr>
        <w:noBreakHyphen/>
      </w:r>
      <w:r>
        <w:rPr>
          <w:rFonts w:hint="default" w:ascii="LMRoman17-Regular" w:hAnsi="LMRoman17-Regular" w:eastAsia="LMRoman17-Regular" w:cs="LMRoman17-Regular"/>
          <w:color w:val="000000"/>
          <w:kern w:val="0"/>
          <w:sz w:val="44"/>
          <w:szCs w:val="44"/>
          <w:lang w:val="en-US" w:eastAsia="zh-CN" w:bidi="ar"/>
        </w:rPr>
        <w:t>Interface Dynamics</w:t>
      </w:r>
    </w:p>
    <w:p>
      <w:pPr>
        <w:keepNext w:val="0"/>
        <w:keepLines w:val="0"/>
        <w:widowControl/>
        <w:suppressLineNumbers w:val="0"/>
        <w:jc w:val="center"/>
      </w:pPr>
      <w:r>
        <w:rPr>
          <w:rFonts w:ascii="LMRoman12-Regular" w:hAnsi="LMRoman12-Regular" w:eastAsia="LMRoman12-Regular" w:cs="LMRoman12-Regular"/>
          <w:color w:val="000000"/>
          <w:kern w:val="0"/>
          <w:sz w:val="24"/>
          <w:szCs w:val="24"/>
          <w:lang w:val="en-US" w:eastAsia="zh-CN" w:bidi="ar"/>
        </w:rPr>
        <w:t>DONG Yi</w:t>
      </w:r>
      <w:r>
        <w:fldChar w:fldCharType="begin"/>
      </w:r>
      <w:r>
        <w:fldChar w:fldCharType="separate"/>
      </w:r>
      <w:r>
        <w:t>Trans-dimensional Energy Descent Cosmology Program: A Unified Cosmological Framework Based on Dimensional-Interface Dynamics</w:t>
      </w:r>
      <w:r>
        <w:fldChar w:fldCharType="end"/>
      </w:r>
    </w:p>
    <w:p>
      <w:pPr>
        <w:pStyle w:val="22"/>
      </w:pPr>
      <w:bookmarkStart w:id="22" w:name="bkAuthorNameENG"/>
      <w:r>
        <w:fldChar w:fldCharType="begin"/>
      </w:r>
      <w:r>
        <w:fldChar w:fldCharType="separate"/>
      </w:r>
      <w:r>
        <w:t>DONG Yi</w:t>
      </w:r>
      <w:r>
        <w:rPr>
          <w:vertAlign w:val="superscript"/>
        </w:rPr>
        <w:t>1</w:t>
      </w:r>
      <w:r>
        <w:fldChar w:fldCharType="end"/>
      </w:r>
      <w:bookmarkEnd w:id="22"/>
    </w:p>
    <w:p>
      <w:pPr>
        <w:pStyle w:val="21"/>
      </w:pPr>
      <w:r>
        <w:t>（Jinan Lixin Digital Technology Co., Ltd., Jinan 250000, China）</w:t>
      </w:r>
      <w:bookmarkStart w:id="23" w:name="bkAuthorAffilENG"/>
      <w:bookmarkEnd w:id="23"/>
    </w:p>
    <w:p>
      <w:pPr>
        <w:pStyle w:val="38"/>
        <w:spacing w:line="240" w:lineRule="auto"/>
        <w:sectPr>
          <w:type w:val="continuous"/>
          <w:pgSz w:w="11906" w:h="16838"/>
          <w:pgMar w:top="1440" w:right="1797" w:bottom="1440" w:left="1797" w:header="981" w:footer="992" w:gutter="0"/>
          <w:lnNumType w:countBy="5" w:distance="680" w:restart="continuous"/>
          <w:cols w:space="425" w:num="1"/>
          <w:docGrid w:linePitch="312" w:charSpace="0"/>
        </w:sectPr>
      </w:pPr>
    </w:p>
    <w:p>
      <w:pPr>
        <w:pStyle w:val="19"/>
        <w:rPr>
          <w:rFonts w:cs="Times New Roman"/>
          <w:lang w:eastAsia="zh-CN"/>
        </w:rPr>
      </w:pPr>
      <w:r>
        <w:rPr>
          <w:rFonts w:cs="Times New Roman"/>
          <w:b/>
          <w:lang w:eastAsia="zh-CN"/>
        </w:rPr>
        <w:t>Abstract</w:t>
      </w:r>
      <w:r>
        <w:rPr>
          <w:rFonts w:hint="eastAsia" w:cs="Times New Roman"/>
          <w:b/>
          <w:lang w:eastAsia="zh-CN"/>
        </w:rPr>
        <w:t>:</w:t>
      </w:r>
      <w:r>
        <w:rPr>
          <w:rFonts w:hint="eastAsia" w:cs="Times New Roman"/>
          <w:lang w:eastAsia="zh-CN"/>
        </w:rPr>
        <w:t xml:space="preserve"> </w:t>
      </w:r>
      <w:r>
        <w:t>Aiming at the underlying contradictions between the ΛCDM cosmological model and the Standard Model of particle physics, this paper proposes a unified cosmological research program based on trans-dimensional energy descent and dimensional-interface tension. Starting from four fundamental axioms, the speed of light is defined as the intrinsic interface velocity of high-dimensional energy descending into 3-dimensional space, and mass is interpreted as the steady-state effect of descending energy blocked by collisions in 3-dimensional space, providing a dynamical interpretation for the mass-energy relation. The Big Bang is explained as a white-hole channel ejecting energy from four-dimensional into three-dimensional space; the early-universe matter generation and inflation are accounted for by an energy crowding-blocking mechanism. Gravitation, electromagnetic force and nuclear force are regarded as derivative effects of trans-dimensional tension at different scales. A high-dimensional-object projection model is adopted to interpret apparent quantum randomness and quantum entanglement. First-order phenomenological dynamical equations and three testable observational predictions are presented. As an ontological theoretical-exploration framework compatible with existing physics within their valid domains, this program connects micro-, macro- and cosmological-scale physical pictures with fewer ad-hoc assumptions.</w:t>
      </w:r>
      <w:bookmarkStart w:id="24" w:name="bkAbstractEN"/>
      <w:bookmarkEnd w:id="24"/>
    </w:p>
    <w:p>
      <w:pPr>
        <w:pStyle w:val="24"/>
        <w:rPr>
          <w:szCs w:val="20"/>
        </w:rPr>
      </w:pPr>
      <w:r>
        <w:rPr>
          <w:rStyle w:val="23"/>
          <w:szCs w:val="20"/>
        </w:rPr>
        <w:t>Key</w:t>
      </w:r>
      <w:r>
        <w:rPr>
          <w:rStyle w:val="23"/>
          <w:rFonts w:hint="eastAsia"/>
          <w:szCs w:val="20"/>
        </w:rPr>
        <w:t xml:space="preserve"> </w:t>
      </w:r>
      <w:r>
        <w:rPr>
          <w:rStyle w:val="23"/>
          <w:szCs w:val="20"/>
        </w:rPr>
        <w:t>words</w:t>
      </w:r>
      <w:r>
        <w:rPr>
          <w:rStyle w:val="23"/>
          <w:rFonts w:hint="eastAsia"/>
          <w:szCs w:val="20"/>
        </w:rPr>
        <w:t xml:space="preserve">: </w:t>
      </w:r>
      <w:r>
        <w:t>cosmology; trans-dimensional dynamics; origin of universe; mass-energy conversion; quantum entanglement; dark-matter effect; dimensional-interface tension</w:t>
      </w:r>
      <w:bookmarkStart w:id="25" w:name="bkKeywordsEN"/>
      <w:bookmarkEnd w:id="25"/>
    </w:p>
    <w:p>
      <w:pPr>
        <w:pStyle w:val="37"/>
      </w:pPr>
      <w:r>
        <w:t>引言</w:t>
      </w:r>
    </w:p>
    <w:p>
      <w:pPr>
        <w:pStyle w:val="29"/>
      </w:pPr>
      <w:r>
        <w:t>研究背景与现存问题</w:t>
      </w:r>
    </w:p>
    <w:p>
      <w:pPr>
        <w:pStyle w:val="38"/>
        <w:jc w:val="both"/>
      </w:pPr>
      <w:r>
        <w:t>过去半个世纪，宇宙学与粒子物理取得了里程碑式进展：</w:t>
      </w:r>
      <m:oMath>
        <m:r>
          <m:rPr/>
          <m:t>Λ</m:t>
        </m:r>
      </m:oMath>
      <w:r>
        <w:t>CDM宇宙学模型通过普朗克卫星对宇宙微波背景辐射的高精度观测，精准拟合了宇宙大尺度结构演化[1]；粒子物理标准模型成功统一描述电磁、强、弱三种基本相互作用，其预言的粒子均得到实验验证[2]。</w:t>
      </w:r>
    </w:p>
    <w:p>
      <w:pPr>
        <w:pStyle w:val="38"/>
        <w:jc w:val="both"/>
      </w:pPr>
      <w:r>
        <w:t>然而，现有理论体系仍存在深层结构性局限：</w:t>
      </w:r>
    </w:p>
    <w:p>
      <w:pPr>
        <w:pStyle w:val="38"/>
        <w:jc w:val="both"/>
      </w:pPr>
      <w:r>
        <w:t xml:space="preserve">1. </w:t>
      </w:r>
      <w:r>
        <w:rPr>
          <w:b/>
          <w:bCs/>
        </w:rPr>
        <w:t>理论割裂</w:t>
      </w:r>
      <w:r>
        <w:t>：广义相对论描述宏观引力，量子力学描述微观粒子，二者在普朗克尺度、黑洞奇点等场景下存在根本性冲突，量子引力问题至今未形成共识性方案[3、4]。</w:t>
      </w:r>
    </w:p>
    <w:p>
      <w:pPr>
        <w:pStyle w:val="38"/>
        <w:jc w:val="both"/>
      </w:pPr>
      <w:r>
        <w:t xml:space="preserve">2. </w:t>
      </w:r>
      <w:r>
        <w:rPr>
          <w:b/>
          <w:bCs/>
        </w:rPr>
        <w:t>独立参数较多</w:t>
      </w:r>
      <w:r>
        <w:t>：为匹配观测数据，</w:t>
      </w:r>
      <m:oMath>
        <m:r>
          <m:rPr/>
          <m:t>Λ</m:t>
        </m:r>
      </m:oMath>
      <w:r>
        <w:t>CDM模型引入暗物质、暗能量、宇宙暴胀等组分，其微观起源与底层物理机制尚未得到第一性原理解释[5]。</w:t>
      </w:r>
    </w:p>
    <w:p>
      <w:pPr>
        <w:pStyle w:val="38"/>
        <w:jc w:val="both"/>
      </w:pPr>
      <w:r>
        <w:t xml:space="preserve">3. </w:t>
      </w:r>
      <w:r>
        <w:rPr>
          <w:b/>
          <w:bCs/>
        </w:rPr>
        <w:t>底层机制留白</w:t>
      </w:r>
      <w:r>
        <w:t>：狭义相对论给出质能关系式</w:t>
      </w:r>
      <m:oMath>
        <m:r>
          <m:rPr/>
          <m:t>E</m:t>
        </m:r>
        <m:r>
          <m:rPr>
            <m:sty m:val="p"/>
          </m:rPr>
          <m:t>=</m:t>
        </m:r>
        <m:r>
          <m:rPr/>
          <m:t>m</m:t>
        </m:r>
        <m:sSup>
          <m:sSupPr/>
          <m:e>
            <m:r>
              <m:rPr/>
              <m:t>c</m:t>
            </m:r>
          </m:e>
          <m:sup>
            <m:r>
              <m:rPr/>
              <m:t>2</m:t>
            </m:r>
          </m:sup>
        </m:sSup>
      </m:oMath>
      <w:r>
        <w:t>，但并未解释质量与能量相互转换的动力学过程；量子力学的测量问题、纠缠非局域性，长期存在多种诠释并存的局面，缺乏统一的本体论图像[6、7]。</w:t>
      </w:r>
    </w:p>
    <w:p>
      <w:pPr>
        <w:pStyle w:val="38"/>
        <w:jc w:val="both"/>
      </w:pPr>
      <w:r>
        <w:t>以弦理论为代表的部分前沿量子引力方案，走向了以数学自洽性与对称性为核心的研究路径，引入额外维度、超对称、紧致化等大量结构，但始终难以提出可被现有实验与观测手段检验的排他性预言，其物理实在性长期受到学界讨论[8、9]。</w:t>
      </w:r>
    </w:p>
    <w:p>
      <w:pPr>
        <w:pStyle w:val="29"/>
      </w:pPr>
      <w:r>
        <w:t>本文研究思路</w:t>
      </w:r>
    </w:p>
    <w:p>
      <w:pPr>
        <w:pStyle w:val="38"/>
        <w:jc w:val="both"/>
      </w:pPr>
      <w:r>
        <w:t>本文不采用“在现有标准模型上追加修正项”的常规路径，而是尝试构建一套公理极简的底层动力学框架：以高维能量跨维迁移、跌落、阻滞为核心机制，将引力、微观相互作用、质能转换、量子效应、宇宙起源、暗物质效应全部纳入同一套本体论图像。</w:t>
      </w:r>
    </w:p>
    <w:p>
      <w:pPr>
        <w:pStyle w:val="38"/>
        <w:jc w:val="both"/>
      </w:pPr>
      <w:r>
        <w:t>本研究的定位是统一研究纲领，而非已完成定量验证的成熟物理理论。其核心价值在于：以较少独立假设，消解现有理论体系中的多处逻辑割裂，为后续定量建模与实验检验提供统一的底层图像。</w:t>
      </w:r>
    </w:p>
    <w:p>
      <w:pPr>
        <w:pStyle w:val="38"/>
        <w:jc w:val="both"/>
      </w:pPr>
      <w:r>
        <w:t>声明：本纲领中所提及的“维度”，首先定义为</w:t>
      </w:r>
      <w:r>
        <w:rPr>
          <w:b/>
          <w:bCs/>
        </w:rPr>
        <w:t>能量耦合的界面维度</w:t>
      </w:r>
      <w:r>
        <w:t>，不等同于Kaluza–Klein理论中的紧致空间坐标维度；是否可以进一步解释为几何空间维度，留待后续跨维几何度规建模工作。</w:t>
      </w:r>
    </w:p>
    <w:p>
      <w:pPr>
        <w:pStyle w:val="37"/>
      </w:pPr>
      <w:r>
        <w:t>基础公理与核心唯象动力学</w:t>
      </w:r>
    </w:p>
    <w:p>
      <w:pPr>
        <w:pStyle w:val="38"/>
        <w:jc w:val="both"/>
      </w:pPr>
      <w:r>
        <w:t>下文“三维空间”“四维原生能量”“二维空间”等表述中的维度数，均指能量耦合界面层数，不指紧致空间坐标维数；这一约定贯穿全文，后文不再逐一说明。</w:t>
      </w:r>
    </w:p>
    <w:p>
      <w:pPr>
        <w:pStyle w:val="38"/>
        <w:jc w:val="both"/>
      </w:pPr>
      <w:r>
        <w:t>本纲领全部推导建立在4条基础公理之上，不再增设独立特设假设。</w:t>
      </w:r>
    </w:p>
    <w:p>
      <w:pPr>
        <w:pStyle w:val="29"/>
      </w:pPr>
      <w:r>
        <w:t>基础公理</w:t>
      </w:r>
    </w:p>
    <w:p>
      <w:pPr>
        <w:pStyle w:val="38"/>
        <w:jc w:val="both"/>
      </w:pPr>
      <w:r>
        <w:rPr>
          <w:b/>
          <w:bCs/>
        </w:rPr>
        <w:t>公理1 时间正向性与熵增原理</w:t>
      </w:r>
      <w:r>
        <w:br w:type="textWrapping"/>
      </w:r>
      <w:r>
        <w:t>时间具备正向不可逆性</w:t>
      </w:r>
      <w:bookmarkStart w:id="28" w:name="_GoBack"/>
      <w:bookmarkEnd w:id="28"/>
      <w:r>
        <w:t>，熵增是能量与物质转化过程的底层约束；违背时间正向性与熵增的演化模式，无法在本宇宙稳定存续[10]。</w:t>
      </w:r>
    </w:p>
    <w:p>
      <w:pPr>
        <w:pStyle w:val="38"/>
        <w:jc w:val="both"/>
      </w:pPr>
      <w:r>
        <w:rPr>
          <w:b/>
          <w:bCs/>
        </w:rPr>
        <w:t>公理2 分层维度与跨维迁移</w:t>
      </w:r>
      <w:r>
        <w:br w:type="textWrapping"/>
      </w:r>
      <w:r>
        <w:t>宇宙具备分层维度结构；高维空间不受三维空间的做功约束限制；能量可发生跨维度迁移、跌落；由高维向低维跌落存在固有的本征界面速度；维度通道的生成与维持，需满足对应的能量耦合条件。</w:t>
      </w:r>
    </w:p>
    <w:p>
      <w:pPr>
        <w:pStyle w:val="38"/>
        <w:jc w:val="both"/>
      </w:pPr>
      <w:r>
        <w:rPr>
          <w:b/>
          <w:bCs/>
        </w:rPr>
        <w:t>公理3 三维空间能量饱和阈值</w:t>
      </w:r>
      <w:r>
        <w:br w:type="textWrapping"/>
      </w:r>
      <w:r>
        <w:t>三维空间单位体积存在可承载高维跌落能量的饱和能量密度上限</w:t>
      </w:r>
      <m:oMath>
        <m:sSub>
          <m:sSubPr/>
          <m:e>
            <m:r>
              <m:rPr/>
              <m:t>ρ</m:t>
            </m:r>
          </m:e>
          <m:sub>
            <m:r>
              <m:rPr>
                <m:nor/>
                <m:sty m:val="p"/>
              </m:rPr>
              <w:rPr>
                <w:b w:val="0"/>
                <w:i w:val="0"/>
              </w:rPr>
              <m:t>sat</m:t>
            </m:r>
          </m:sub>
        </m:sSub>
      </m:oMath>
      <w:r>
        <w:t>；当局域能量密度超过该阈值时，能量单元之间会发生拥挤、碰撞、互相阻滞。单个能量单元携带固定本征能量</w:t>
      </w:r>
      <m:oMath>
        <m:sSub>
          <m:sSubPr/>
          <m:e>
            <m:r>
              <m:rPr/>
              <m:t>ε</m:t>
            </m:r>
          </m:e>
          <m:sub>
            <m:r>
              <m:rPr/>
              <m:t>0</m:t>
            </m:r>
          </m:sub>
        </m:sSub>
      </m:oMath>
      <w:r>
        <w:t>，满足数密度与能量密度关系</w:t>
      </w:r>
      <m:oMath>
        <m:r>
          <m:rPr/>
          <m:t>ρ</m:t>
        </m:r>
        <m:r>
          <m:rPr>
            <m:sty m:val="p"/>
          </m:rPr>
          <m:t>=</m:t>
        </m:r>
        <m:r>
          <m:rPr/>
          <m:t>n</m:t>
        </m:r>
        <m:sSub>
          <m:sSubPr/>
          <m:e>
            <m:r>
              <m:rPr/>
              <m:t>ε</m:t>
            </m:r>
          </m:e>
          <m:sub>
            <m:r>
              <m:rPr/>
              <m:t>0</m:t>
            </m:r>
          </m:sub>
        </m:sSub>
      </m:oMath>
      <w:r>
        <w:t>，其中</w:t>
      </w:r>
      <m:oMath>
        <m:r>
          <m:rPr/>
          <m:t>n</m:t>
        </m:r>
      </m:oMath>
      <w:r>
        <w:t>为能量单元数密度。</w:t>
      </w:r>
    </w:p>
    <w:p>
      <w:pPr>
        <w:pStyle w:val="38"/>
        <w:jc w:val="both"/>
      </w:pPr>
      <w:r>
        <w:rPr>
          <w:b/>
          <w:bCs/>
        </w:rPr>
        <w:t>公理4 全域能量守恒</w:t>
      </w:r>
      <w:r>
        <w:br w:type="textWrapping"/>
      </w:r>
      <w:r>
        <w:t>宇宙全域总能量守恒；能量不会凭空创生或湮灭，仅在不同形态、不同维度耦合状态之间转换[11]。</w:t>
      </w:r>
    </w:p>
    <w:p>
      <w:pPr>
        <w:pStyle w:val="29"/>
      </w:pPr>
      <w:r>
        <w:t>核心物理量定义与跌落动力学方程组</w:t>
      </w:r>
    </w:p>
    <w:p>
      <w:pPr>
        <w:pStyle w:val="38"/>
        <w:jc w:val="both"/>
      </w:pPr>
      <w:r>
        <w:t>定义</w:t>
      </w:r>
      <w:r>
        <w:rPr>
          <w:b/>
          <w:bCs/>
        </w:rPr>
        <w:t>跌落本征速度</w:t>
      </w:r>
      <m:oMath>
        <m:sSub>
          <m:sSubPr/>
          <m:e>
            <m:r>
              <m:rPr/>
              <m:t>v</m:t>
            </m:r>
          </m:e>
          <m:sub>
            <m:r>
              <m:rPr/>
              <m:t>d</m:t>
            </m:r>
          </m:sub>
        </m:sSub>
      </m:oMath>
      <w:r>
        <w:t>：高维原生能量向三维空间跌落的界面固有参数。</w:t>
      </w:r>
    </w:p>
    <w:p>
      <w:pPr>
        <w:pStyle w:val="38"/>
        <w:jc w:val="both"/>
      </w:pPr>
      <w:r>
        <w:t>重要区分：</w:t>
      </w:r>
      <m:oMath>
        <m:sSub>
          <m:sSubPr/>
          <m:e>
            <m:r>
              <m:rPr/>
              <m:t>v</m:t>
            </m:r>
          </m:e>
          <m:sub>
            <m:r>
              <m:rPr/>
              <m:t>d</m:t>
            </m:r>
          </m:sub>
        </m:sSub>
      </m:oMath>
      <w:r>
        <w:t>是本纲领内部的界面动力学参数，不等于粒子在三维时空中的坐标运动速度；二者的变换映射关系为后续待完善内容。</w:t>
      </w:r>
    </w:p>
    <w:p>
      <w:pPr>
        <w:pStyle w:val="38"/>
        <w:jc w:val="both"/>
      </w:pPr>
      <w:r>
        <w:t>能量未受任何三维阻滞时，跌落本征速度达到最大值</w:t>
      </w:r>
      <m:oMath>
        <m:r>
          <m:rPr/>
          <m:t>c</m:t>
        </m:r>
      </m:oMath>
      <w:r>
        <w:t>，即真空中的光速。</w:t>
      </w:r>
    </w:p>
    <w:p>
      <w:pPr>
        <w:pStyle w:val="38"/>
        <w:jc w:val="both"/>
      </w:pPr>
      <w:r>
        <w:t>单一能量单元的总能量拆分为跌落动能分量与静能分量，满足全域守恒：</w:t>
      </w:r>
    </w:p>
    <w:p>
      <w:pPr>
        <w:pStyle w:val="32"/>
        <w:jc w:val="center"/>
      </w:pPr>
      <m:oMathPara>
        <m:oMathParaPr>
          <m:jc m:val="center"/>
        </m:oMathParaPr>
        <m:oMath>
          <m:r>
            <m:rPr/>
            <m:t>E</m:t>
          </m:r>
          <m:r>
            <m:rPr>
              <m:sty m:val="p"/>
            </m:rPr>
            <m:t>=</m:t>
          </m:r>
          <m:sSub>
            <m:sSubPr/>
            <m:e>
              <m:r>
                <m:rPr/>
                <m:t>E</m:t>
              </m:r>
            </m:e>
            <m:sub>
              <m:r>
                <m:rPr/>
                <m:t>k</m:t>
              </m:r>
            </m:sub>
          </m:sSub>
          <m:r>
            <m:rPr>
              <m:sty m:val="p"/>
            </m:rPr>
            <m:t>+</m:t>
          </m:r>
          <m:sSub>
            <m:sSubPr/>
            <m:e>
              <m:r>
                <m:rPr/>
                <m:t>E</m:t>
              </m:r>
            </m:e>
            <m:sub>
              <m:r>
                <m:rPr/>
                <m:t>m</m:t>
              </m:r>
            </m:sub>
          </m:sSub>
          <m:r>
            <m:rPr>
              <m:sty m:val="p"/>
            </m:rPr>
            <m:t>=</m:t>
          </m:r>
          <m:r>
            <m:rPr>
              <m:sty m:val="p"/>
            </m:rPr>
            <m:t>常数</m:t>
          </m:r>
        </m:oMath>
      </m:oMathPara>
    </w:p>
    <w:p>
      <w:pPr>
        <w:pStyle w:val="38"/>
        <w:jc w:val="both"/>
      </w:pPr>
      <w:r>
        <w:t xml:space="preserve">其中跌落动能分量为纲领内部一阶唯象形式 </w:t>
      </w:r>
      <m:oMath>
        <m:sSub>
          <m:sSubPr/>
          <m:e>
            <m:r>
              <m:rPr/>
              <m:t>E</m:t>
            </m:r>
          </m:e>
          <m:sub>
            <m:r>
              <m:rPr/>
              <m:t>k</m:t>
            </m:r>
          </m:sub>
        </m:sSub>
        <m:r>
          <m:rPr>
            <m:sty m:val="p"/>
          </m:rPr>
          <m:t>=</m:t>
        </m:r>
        <m:f>
          <m:fPr/>
          <m:num>
            <m:r>
              <m:rPr/>
              <m:t>1</m:t>
            </m:r>
          </m:num>
          <m:den>
            <m:r>
              <m:rPr/>
              <m:t>2</m:t>
            </m:r>
          </m:den>
        </m:f>
        <m:sSub>
          <m:sSubPr/>
          <m:e>
            <m:r>
              <m:rPr/>
              <m:t>m</m:t>
            </m:r>
          </m:e>
          <m:sub>
            <m:r>
              <m:rPr/>
              <m:t>0</m:t>
            </m:r>
          </m:sub>
        </m:sSub>
        <m:sSubSup>
          <m:sSubSupPr/>
          <m:e>
            <m:r>
              <m:rPr/>
              <m:t>v</m:t>
            </m:r>
          </m:e>
          <m:sub>
            <m:r>
              <m:rPr/>
              <m:t>d</m:t>
            </m:r>
          </m:sub>
          <m:sup>
            <m:r>
              <m:rPr/>
              <m:t>2</m:t>
            </m:r>
          </m:sup>
        </m:sSubSup>
      </m:oMath>
      <w:r>
        <w:t>，该式仅用于描述跨维界面内的能量分配，不直接等同于三维相对论动能；静能分量</w:t>
      </w:r>
      <m:oMath>
        <m:sSub>
          <m:sSubPr/>
          <m:e>
            <m:r>
              <m:rPr/>
              <m:t>E</m:t>
            </m:r>
          </m:e>
          <m:sub>
            <m:r>
              <m:rPr/>
              <m:t>m</m:t>
            </m:r>
          </m:sub>
        </m:sSub>
        <m:r>
          <m:rPr>
            <m:sty m:val="p"/>
          </m:rPr>
          <m:t>=</m:t>
        </m:r>
        <m:r>
          <m:rPr/>
          <m:t>m</m:t>
        </m:r>
        <m:d>
          <m:dPr>
            <m:sepChr m:val=""/>
          </m:dPr>
          <m:e>
            <m:sSub>
              <m:sSubPr/>
              <m:e>
                <m:r>
                  <m:rPr/>
                  <m:t>v</m:t>
                </m:r>
              </m:e>
              <m:sub>
                <m:r>
                  <m:rPr/>
                  <m:t>d</m:t>
                </m:r>
              </m:sub>
            </m:sSub>
          </m:e>
        </m:d>
        <m:sSup>
          <m:sSupPr/>
          <m:e>
            <m:r>
              <m:rPr/>
              <m:t>c</m:t>
            </m:r>
          </m:e>
          <m:sup>
            <m:r>
              <m:rPr/>
              <m:t>2</m:t>
            </m:r>
          </m:sup>
        </m:sSup>
      </m:oMath>
      <w:r>
        <w:t>。结合能量守恒，得到静质量与跌落速度的唯象对应关系：</w:t>
      </w:r>
    </w:p>
    <w:p>
      <w:pPr>
        <w:pStyle w:val="32"/>
        <w:jc w:val="center"/>
      </w:pPr>
      <m:oMathPara>
        <m:oMathParaPr>
          <m:jc m:val="center"/>
        </m:oMathParaPr>
        <m:oMath>
          <m:r>
            <m:rPr/>
            <m:t>m</m:t>
          </m:r>
          <m:d>
            <m:dPr>
              <m:sepChr m:val=""/>
            </m:dPr>
            <m:e>
              <m:sSub>
                <m:sSubPr/>
                <m:e>
                  <m:r>
                    <m:rPr/>
                    <m:t>v</m:t>
                  </m:r>
                </m:e>
                <m:sub>
                  <m:r>
                    <m:rPr/>
                    <m:t>d</m:t>
                  </m:r>
                </m:sub>
              </m:sSub>
            </m:e>
          </m:d>
          <m:r>
            <m:rPr>
              <m:sty m:val="p"/>
            </m:rPr>
            <m:t>=</m:t>
          </m:r>
          <m:sSub>
            <m:sSubPr/>
            <m:e>
              <m:r>
                <m:rPr/>
                <m:t>m</m:t>
              </m:r>
            </m:e>
            <m:sub>
              <m:r>
                <m:rPr/>
                <m:t>0</m:t>
              </m:r>
            </m:sub>
          </m:sSub>
          <m:d>
            <m:dPr>
              <m:sepChr m:val=""/>
            </m:dPr>
            <m:e>
              <m:r>
                <m:rPr/>
                <m:t>1</m:t>
              </m:r>
              <m:r>
                <m:rPr>
                  <m:sty m:val="p"/>
                </m:rPr>
                <m:t>−</m:t>
              </m:r>
              <m:f>
                <m:fPr/>
                <m:num>
                  <m:sSubSup>
                    <m:sSubSupPr/>
                    <m:e>
                      <m:r>
                        <m:rPr/>
                        <m:t>v</m:t>
                      </m:r>
                    </m:e>
                    <m:sub>
                      <m:r>
                        <m:rPr/>
                        <m:t>d</m:t>
                      </m:r>
                    </m:sub>
                    <m:sup>
                      <m:r>
                        <m:rPr/>
                        <m:t>2</m:t>
                      </m:r>
                    </m:sup>
                  </m:sSubSup>
                </m:num>
                <m:den>
                  <m:r>
                    <m:rPr/>
                    <m:t>2</m:t>
                  </m:r>
                  <m:sSup>
                    <m:sSupPr/>
                    <m:e>
                      <m:r>
                        <m:rPr/>
                        <m:t>c</m:t>
                      </m:r>
                    </m:e>
                    <m:sup>
                      <m:r>
                        <m:rPr/>
                        <m:t>2</m:t>
                      </m:r>
                    </m:sup>
                  </m:sSup>
                </m:den>
              </m:f>
            </m:e>
          </m:d>
        </m:oMath>
      </m:oMathPara>
    </w:p>
    <w:p>
      <w:pPr>
        <w:pStyle w:val="38"/>
        <w:jc w:val="both"/>
      </w:pPr>
      <w:r>
        <w:t>式(2)为一阶唯象展开：当</w:t>
      </w:r>
      <m:oMath>
        <m:sSub>
          <m:sSubPr/>
          <m:e>
            <m:r>
              <m:rPr/>
              <m:t>v</m:t>
            </m:r>
          </m:e>
          <m:sub>
            <m:r>
              <m:rPr/>
              <m:t>d</m:t>
            </m:r>
          </m:sub>
        </m:sSub>
        <m:r>
          <m:rPr>
            <m:sty m:val="p"/>
          </m:rPr>
          <m:t>≪</m:t>
        </m:r>
        <m:r>
          <m:rPr/>
          <m:t>c</m:t>
        </m:r>
      </m:oMath>
      <w:r>
        <w:t>时，它退化为稳态静质量</w:t>
      </w:r>
      <m:oMath>
        <m:sSub>
          <m:sSubPr/>
          <m:e>
            <m:r>
              <m:rPr/>
              <m:t>m</m:t>
            </m:r>
          </m:e>
          <m:sub>
            <m:r>
              <m:rPr/>
              <m:t>0</m:t>
            </m:r>
          </m:sub>
        </m:sSub>
      </m:oMath>
      <w:r>
        <w:t>，对应常规物质；当</w:t>
      </w:r>
      <m:oMath>
        <m:sSub>
          <m:sSubPr/>
          <m:e>
            <m:r>
              <m:rPr/>
              <m:t>v</m:t>
            </m:r>
          </m:e>
          <m:sub>
            <m:r>
              <m:rPr/>
              <m:t>d</m:t>
            </m:r>
          </m:sub>
        </m:sSub>
        <m:r>
          <m:rPr>
            <m:sty m:val="p"/>
          </m:rPr>
          <m:t>→</m:t>
        </m:r>
        <m:r>
          <m:rPr/>
          <m:t>c</m:t>
        </m:r>
      </m:oMath>
      <w:r>
        <w:t>时，一阶形式给出</w:t>
      </w:r>
      <m:oMath>
        <m:r>
          <m:rPr/>
          <m:t>m</m:t>
        </m:r>
        <m:r>
          <m:rPr>
            <m:sty m:val="p"/>
          </m:rPr>
          <m:t>→</m:t>
        </m:r>
        <m:sSub>
          <m:sSubPr/>
          <m:e>
            <m:r>
              <m:rPr/>
              <m:t>m</m:t>
            </m:r>
          </m:e>
          <m:sub>
            <m:r>
              <m:rPr/>
              <m:t>0</m:t>
            </m:r>
          </m:sub>
        </m:sSub>
        <m:r>
          <m:rPr>
            <m:sty m:val="p"/>
          </m:rPr>
          <m:t>/</m:t>
        </m:r>
        <m:r>
          <m:rPr/>
          <m:t>2</m:t>
        </m:r>
      </m:oMath>
      <w:r>
        <w:t>。若要求</w:t>
      </w:r>
      <m:oMath>
        <m:sSub>
          <m:sSubPr/>
          <m:e>
            <m:r>
              <m:rPr/>
              <m:t>v</m:t>
            </m:r>
          </m:e>
          <m:sub>
            <m:r>
              <m:rPr/>
              <m:t>d</m:t>
            </m:r>
          </m:sub>
        </m:sSub>
        <m:r>
          <m:rPr>
            <m:sty m:val="p"/>
          </m:rPr>
          <m:t>=</m:t>
        </m:r>
        <m:r>
          <m:rPr/>
          <m:t>c</m:t>
        </m:r>
      </m:oMath>
      <w:r>
        <w:t>时静质量严格为零（对应光子等纯辐射态），需采用如下满足双端点条件的二阶修正形式：</w:t>
      </w:r>
    </w:p>
    <w:p>
      <w:pPr>
        <w:pStyle w:val="32"/>
        <w:jc w:val="center"/>
      </w:pPr>
      <m:oMathPara>
        <m:oMathParaPr>
          <m:jc m:val="center"/>
        </m:oMathParaPr>
        <m:oMath>
          <m:r>
            <m:rPr/>
            <m:t>m</m:t>
          </m:r>
          <m:d>
            <m:dPr>
              <m:sepChr m:val=""/>
            </m:dPr>
            <m:e>
              <m:sSub>
                <m:sSubPr/>
                <m:e>
                  <m:r>
                    <m:rPr/>
                    <m:t>v</m:t>
                  </m:r>
                </m:e>
                <m:sub>
                  <m:r>
                    <m:rPr/>
                    <m:t>d</m:t>
                  </m:r>
                </m:sub>
              </m:sSub>
            </m:e>
          </m:d>
          <m:r>
            <m:rPr>
              <m:sty m:val="p"/>
            </m:rPr>
            <m:t>=</m:t>
          </m:r>
          <m:sSub>
            <m:sSubPr/>
            <m:e>
              <m:r>
                <m:rPr/>
                <m:t>m</m:t>
              </m:r>
            </m:e>
            <m:sub>
              <m:r>
                <m:rPr/>
                <m:t>0</m:t>
              </m:r>
            </m:sub>
          </m:sSub>
          <m:rad>
            <m:radPr>
              <m:degHide m:val="1"/>
            </m:radPr>
            <m:deg/>
            <m:e>
              <m:r>
                <m:rPr/>
                <m:t>1</m:t>
              </m:r>
              <m:r>
                <m:rPr>
                  <m:sty m:val="p"/>
                </m:rPr>
                <m:t>−</m:t>
              </m:r>
              <m:f>
                <m:fPr/>
                <m:num>
                  <m:sSubSup>
                    <m:sSubSupPr/>
                    <m:e>
                      <m:r>
                        <m:rPr/>
                        <m:t>v</m:t>
                      </m:r>
                    </m:e>
                    <m:sub>
                      <m:r>
                        <m:rPr/>
                        <m:t>d</m:t>
                      </m:r>
                    </m:sub>
                    <m:sup>
                      <m:r>
                        <m:rPr/>
                        <m:t>2</m:t>
                      </m:r>
                    </m:sup>
                  </m:sSubSup>
                </m:num>
                <m:den>
                  <m:sSup>
                    <m:sSupPr/>
                    <m:e>
                      <m:r>
                        <m:rPr/>
                        <m:t>c</m:t>
                      </m:r>
                    </m:e>
                    <m:sup>
                      <m:r>
                        <m:rPr/>
                        <m:t>2</m:t>
                      </m:r>
                    </m:sup>
                  </m:sSup>
                </m:den>
              </m:f>
            </m:e>
          </m:rad>
        </m:oMath>
      </m:oMathPara>
    </w:p>
    <w:p>
      <w:pPr>
        <w:pStyle w:val="38"/>
        <w:jc w:val="both"/>
      </w:pPr>
      <w:r>
        <w:t>该式在</w:t>
      </w:r>
      <m:oMath>
        <m:sSub>
          <m:sSubPr/>
          <m:e>
            <m:r>
              <m:rPr/>
              <m:t>v</m:t>
            </m:r>
          </m:e>
          <m:sub>
            <m:r>
              <m:rPr/>
              <m:t>d</m:t>
            </m:r>
          </m:sub>
        </m:sSub>
        <m:r>
          <m:rPr>
            <m:sty m:val="p"/>
          </m:rPr>
          <m:t>≪</m:t>
        </m:r>
        <m:r>
          <m:rPr/>
          <m:t>c</m:t>
        </m:r>
      </m:oMath>
      <w:r>
        <w:t>时展开为</w:t>
      </w:r>
      <m:oMath>
        <m:sSub>
          <m:sSubPr/>
          <m:e>
            <m:r>
              <m:rPr/>
              <m:t>m</m:t>
            </m:r>
          </m:e>
          <m:sub>
            <m:r>
              <m:rPr/>
              <m:t>0</m:t>
            </m:r>
          </m:sub>
        </m:sSub>
        <m:d>
          <m:dPr>
            <m:sepChr m:val=""/>
          </m:dPr>
          <m:e>
            <m:r>
              <m:rPr/>
              <m:t>1</m:t>
            </m:r>
            <m:r>
              <m:rPr>
                <m:sty m:val="p"/>
              </m:rPr>
              <m:t>−</m:t>
            </m:r>
            <m:sSubSup>
              <m:sSubSupPr/>
              <m:e>
                <m:r>
                  <m:rPr/>
                  <m:t>v</m:t>
                </m:r>
              </m:e>
              <m:sub>
                <m:r>
                  <m:rPr/>
                  <m:t>d</m:t>
                </m:r>
              </m:sub>
              <m:sup>
                <m:r>
                  <m:rPr/>
                  <m:t>2</m:t>
                </m:r>
              </m:sup>
            </m:sSubSup>
            <m:r>
              <m:rPr>
                <m:sty m:val="p"/>
              </m:rPr>
              <m:t>/</m:t>
            </m:r>
            <m:d>
              <m:dPr>
                <m:sepChr m:val=""/>
              </m:dPr>
              <m:e>
                <m:r>
                  <m:rPr/>
                  <m:t>2</m:t>
                </m:r>
                <m:sSup>
                  <m:sSupPr/>
                  <m:e>
                    <m:r>
                      <m:rPr/>
                      <m:t>c</m:t>
                    </m:r>
                  </m:e>
                  <m:sup>
                    <m:r>
                      <m:rPr/>
                      <m:t>2</m:t>
                    </m:r>
                  </m:sup>
                </m:sSup>
              </m:e>
            </m:d>
          </m:e>
        </m:d>
      </m:oMath>
      <w:r>
        <w:t>，与式(2)低阶一致；在</w:t>
      </w:r>
      <m:oMath>
        <m:sSub>
          <m:sSubPr/>
          <m:e>
            <m:r>
              <m:rPr/>
              <m:t>v</m:t>
            </m:r>
          </m:e>
          <m:sub>
            <m:r>
              <m:rPr/>
              <m:t>d</m:t>
            </m:r>
          </m:sub>
        </m:sSub>
        <m:r>
          <m:rPr>
            <m:sty m:val="p"/>
          </m:rPr>
          <m:t>=</m:t>
        </m:r>
        <m:r>
          <m:rPr/>
          <m:t>c</m:t>
        </m:r>
      </m:oMath>
      <w:r>
        <w:t>时严格给出</w:t>
      </w:r>
      <m:oMath>
        <m:r>
          <m:rPr/>
          <m:t>m</m:t>
        </m:r>
        <m:r>
          <m:rPr>
            <m:sty m:val="p"/>
          </m:rPr>
          <m:t>=</m:t>
        </m:r>
        <m:r>
          <m:rPr/>
          <m:t>0</m:t>
        </m:r>
      </m:oMath>
      <w:r>
        <w:t>。本文后续凡涉及光子静质量为零的定性结论，均以式(2b)为准；式(2)作为低阶近似保留，用于展示质量随跌落速度单调变化的趋势。</w:t>
      </w:r>
    </w:p>
    <w:p>
      <w:pPr>
        <w:pStyle w:val="38"/>
        <w:jc w:val="both"/>
      </w:pPr>
      <w:r>
        <w:t>需要说明，式(2b)在数学形式上恰为相对论洛伦兹因子</w:t>
      </w:r>
      <m:oMath>
        <m:r>
          <m:rPr/>
          <m:t>γ</m:t>
        </m:r>
      </m:oMath>
      <w:r>
        <w:t>的倒数形式（</w:t>
      </w:r>
      <m:oMath>
        <m:r>
          <m:rPr/>
          <m:t>m</m:t>
        </m:r>
        <m:r>
          <m:rPr>
            <m:sty m:val="p"/>
          </m:rPr>
          <m:t>=</m:t>
        </m:r>
        <m:sSub>
          <m:sSubPr/>
          <m:e>
            <m:r>
              <m:rPr/>
              <m:t>m</m:t>
            </m:r>
          </m:e>
          <m:sub>
            <m:r>
              <m:rPr/>
              <m:t>0</m:t>
            </m:r>
          </m:sub>
        </m:sSub>
        <m:r>
          <m:rPr>
            <m:sty m:val="p"/>
          </m:rPr>
          <m:t>/</m:t>
        </m:r>
        <m:r>
          <m:rPr/>
          <m:t>γ</m:t>
        </m:r>
      </m:oMath>
      <w:r>
        <w:t>），但本框架中</w:t>
      </w:r>
      <m:oMath>
        <m:sSub>
          <m:sSubPr/>
          <m:e>
            <m:r>
              <m:rPr/>
              <m:t>v</m:t>
            </m:r>
          </m:e>
          <m:sub>
            <m:r>
              <m:rPr/>
              <m:t>d</m:t>
            </m:r>
          </m:sub>
        </m:sSub>
      </m:oMath>
      <w:r>
        <w:t>是跨维界面跌落本征速度，不是粒子在三维时空中的坐标运动速度，二者的物理诠释完全不同；本式在此用于描述界面能量分配对静质量的调制，而非三维相对论运动学效应。这一形式上的对应关系提示，三维相对论的质量—速度关系可能可以从跨维界面动力学中涌现，但其严格映射留待后续工作。</w:t>
      </w:r>
    </w:p>
    <w:p>
      <w:pPr>
        <w:pStyle w:val="38"/>
        <w:jc w:val="both"/>
      </w:pPr>
      <w:r>
        <w:t>跌落速度受三维碰撞阻滞的演化满足一阶动力学方程：</w:t>
      </w:r>
    </w:p>
    <w:p>
      <w:pPr>
        <w:pStyle w:val="32"/>
        <w:jc w:val="center"/>
      </w:pPr>
      <m:oMathPara>
        <m:oMathParaPr>
          <m:jc m:val="center"/>
        </m:oMathParaPr>
        <m:oMath>
          <m:f>
            <m:fPr/>
            <m:num>
              <m:r>
                <m:rPr/>
                <m:t>d</m:t>
              </m:r>
              <m:sSub>
                <m:sSubPr/>
                <m:e>
                  <m:r>
                    <m:rPr/>
                    <m:t>v</m:t>
                  </m:r>
                </m:e>
                <m:sub>
                  <m:r>
                    <m:rPr/>
                    <m:t>d</m:t>
                  </m:r>
                </m:sub>
              </m:sSub>
            </m:num>
            <m:den>
              <m:r>
                <m:rPr/>
                <m:t>dt</m:t>
              </m:r>
            </m:den>
          </m:f>
          <m:r>
            <m:rPr>
              <m:sty m:val="p"/>
            </m:rPr>
            <m:t>=−</m:t>
          </m:r>
          <m:r>
            <m:rPr/>
            <m:t>α</m:t>
          </m:r>
          <m:r>
            <m:rPr>
              <m:sty m:val="p"/>
            </m:rPr>
            <m:t>⋅</m:t>
          </m:r>
          <m:r>
            <m:rPr/>
            <m:t>n</m:t>
          </m:r>
          <m:r>
            <m:rPr>
              <m:sty m:val="p"/>
            </m:rPr>
            <m:t>⋅</m:t>
          </m:r>
          <m:sSub>
            <m:sSubPr/>
            <m:e>
              <m:r>
                <m:rPr/>
                <m:t>v</m:t>
              </m:r>
            </m:e>
            <m:sub>
              <m:r>
                <m:rPr/>
                <m:t>d</m:t>
              </m:r>
            </m:sub>
          </m:sSub>
        </m:oMath>
      </m:oMathPara>
    </w:p>
    <w:p>
      <w:pPr>
        <w:pStyle w:val="38"/>
        <w:jc w:val="both"/>
      </w:pPr>
      <w:r>
        <w:t>其中</w:t>
      </w:r>
      <m:oMath>
        <m:r>
          <m:rPr/>
          <m:t>α</m:t>
        </m:r>
      </m:oMath>
      <w:r>
        <w:t>为三维碰撞阻滞系数（唯象待拟合参数），</w:t>
      </w:r>
      <m:oMath>
        <m:r>
          <m:rPr/>
          <m:t>n</m:t>
        </m:r>
      </m:oMath>
      <w:r>
        <w:t>为局域能量粒子数密度。</w:t>
      </w:r>
    </w:p>
    <w:p>
      <w:pPr>
        <w:pStyle w:val="38"/>
        <w:jc w:val="both"/>
      </w:pPr>
      <w:r>
        <w:t>联立式(2b)与式(3)可知，</w:t>
      </w:r>
      <m:oMath>
        <m:sSub>
          <m:sSubPr/>
          <m:e>
            <m:r>
              <m:rPr/>
              <m:t>v</m:t>
            </m:r>
          </m:e>
          <m:sub>
            <m:r>
              <m:rPr/>
              <m:t>d</m:t>
            </m:r>
          </m:sub>
        </m:sSub>
      </m:oMath>
      <w:r>
        <w:t>从初值指数衰减至零的过程，对应静质量从零增长至</w:t>
      </w:r>
      <m:oMath>
        <m:sSub>
          <m:sSubPr/>
          <m:e>
            <m:r>
              <m:rPr/>
              <m:t>m</m:t>
            </m:r>
          </m:e>
          <m:sub>
            <m:r>
              <m:rPr/>
              <m:t>0</m:t>
            </m:r>
          </m:sub>
        </m:sSub>
      </m:oMath>
      <w:r>
        <w:t>，覆盖完整的质量生成区间；若仅采用式(2)的一阶形式，质量变化范围被压缩在</w:t>
      </w:r>
      <m:oMath>
        <m:sSub>
          <m:sSubPr/>
          <m:e>
            <m:r>
              <m:rPr/>
              <m:t>m</m:t>
            </m:r>
          </m:e>
          <m:sub>
            <m:r>
              <m:rPr/>
              <m:t>0</m:t>
            </m:r>
          </m:sub>
        </m:sSub>
        <m:r>
          <m:rPr>
            <m:sty m:val="p"/>
          </m:rPr>
          <m:t>/</m:t>
        </m:r>
        <m:r>
          <m:rPr/>
          <m:t>2</m:t>
        </m:r>
      </m:oMath>
      <w:r>
        <w:t>至</w:t>
      </w:r>
      <m:oMath>
        <m:sSub>
          <m:sSubPr/>
          <m:e>
            <m:r>
              <m:rPr/>
              <m:t>m</m:t>
            </m:r>
          </m:e>
          <m:sub>
            <m:r>
              <m:rPr/>
              <m:t>0</m:t>
            </m:r>
          </m:sub>
        </m:sSub>
      </m:oMath>
      <w:r>
        <w:t>之间，这正是需要引入二阶修正的原因。式(1)中</w:t>
      </w:r>
      <m:oMath>
        <m:sSub>
          <m:sSubPr/>
          <m:e>
            <m:r>
              <m:rPr/>
              <m:t>E</m:t>
            </m:r>
          </m:e>
          <m:sub>
            <m:r>
              <m:rPr/>
              <m:t>k</m:t>
            </m:r>
          </m:sub>
        </m:sSub>
      </m:oMath>
      <w:r>
        <w:t>项采用</w:t>
      </w:r>
      <m:oMath>
        <m:sSub>
          <m:sSubPr/>
          <m:e>
            <m:r>
              <m:rPr/>
              <m:t>m</m:t>
            </m:r>
          </m:e>
          <m:sub>
            <m:r>
              <m:rPr/>
              <m:t>0</m:t>
            </m:r>
          </m:sub>
        </m:sSub>
      </m:oMath>
      <w:r>
        <w:t>作为惯量系数，是低阶唯象选择；在高阶修正中，惯量系数对</w:t>
      </w:r>
      <m:oMath>
        <m:sSub>
          <m:sSubPr/>
          <m:e>
            <m:r>
              <m:rPr/>
              <m:t>v</m:t>
            </m:r>
          </m:e>
          <m:sub>
            <m:r>
              <m:rPr/>
              <m:t>d</m:t>
            </m:r>
          </m:sub>
        </m:sSub>
      </m:oMath>
      <w:r>
        <w:t>的依赖可被吸收进修正项，不改变质量随跌落速度单调变化的核心图像。</w:t>
      </w:r>
    </w:p>
    <w:p>
      <w:pPr>
        <w:pStyle w:val="37"/>
      </w:pPr>
      <w:r>
        <w:t>宇宙起源与早期演化：白洞奇点与暴涨机制</w:t>
      </w:r>
    </w:p>
    <w:p>
      <w:pPr>
        <w:pStyle w:val="29"/>
      </w:pPr>
      <w:r>
        <w:t>大爆炸的本体：白洞能量喷涌</w:t>
      </w:r>
    </w:p>
    <w:p>
      <w:pPr>
        <w:pStyle w:val="38"/>
        <w:jc w:val="both"/>
      </w:pPr>
      <w:r>
        <w:t>本纲领提出：宇宙大爆炸奇点，本质是四维原生能量向三维空间注入的白洞通道。宇宙诞生初期，白洞向体积极小的三维空间瞬间注入高通量高维跌落能量，初始能量密度远高于三维空间饱和阈值</w:t>
      </w:r>
      <m:oMath>
        <m:sSub>
          <m:sSubPr/>
          <m:e>
            <m:r>
              <m:rPr/>
              <m:t>ρ</m:t>
            </m:r>
          </m:e>
          <m:sub>
            <m:r>
              <m:rPr>
                <m:nor/>
                <m:sty m:val="p"/>
              </m:rPr>
              <w:rPr>
                <w:b w:val="0"/>
                <w:i w:val="0"/>
              </w:rPr>
              <m:t>sat</m:t>
            </m:r>
          </m:sub>
        </m:sSub>
      </m:oMath>
      <w:r>
        <w:t>。</w:t>
      </w:r>
    </w:p>
    <w:p>
      <w:pPr>
        <w:pStyle w:val="29"/>
      </w:pPr>
      <w:r>
        <w:t>物质批量生成与宇宙暴涨</w:t>
      </w:r>
    </w:p>
    <w:p>
      <w:pPr>
        <w:pStyle w:val="38"/>
        <w:jc w:val="both"/>
      </w:pPr>
      <w:r>
        <w:t>根据公理3，能量密度超过饱和阈值时，能量单元高度密集、频繁碰撞，跌落本征速度在极短时间内发生大范围衰减，对应静质量的批量生成。物质粒子数密度的生成率满足唯象方程：</w:t>
      </w:r>
    </w:p>
    <w:p>
      <w:pPr>
        <w:pStyle w:val="32"/>
        <w:jc w:val="center"/>
      </w:pPr>
      <m:oMathPara>
        <m:oMathParaPr>
          <m:jc m:val="center"/>
        </m:oMathParaPr>
        <m:oMath>
          <m:f>
            <m:fPr/>
            <m:num>
              <m:r>
                <m:rPr/>
                <m:t>d</m:t>
              </m:r>
              <m:sSub>
                <m:sSubPr/>
                <m:e>
                  <m:r>
                    <m:rPr/>
                    <m:t>n</m:t>
                  </m:r>
                </m:e>
                <m:sub>
                  <m:r>
                    <m:rPr/>
                    <m:t>m</m:t>
                  </m:r>
                </m:sub>
              </m:sSub>
            </m:num>
            <m:den>
              <m:r>
                <m:rPr/>
                <m:t>dt</m:t>
              </m:r>
            </m:den>
          </m:f>
          <m:r>
            <m:rPr>
              <m:sty m:val="p"/>
            </m:rPr>
            <m:t>=</m:t>
          </m:r>
          <m:r>
            <m:rPr/>
            <m:t>k</m:t>
          </m:r>
          <m:r>
            <m:rPr>
              <m:sty m:val="p"/>
            </m:rPr>
            <m:t>⋅</m:t>
          </m:r>
          <m:sSup>
            <m:sSupPr/>
            <m:e>
              <m:r>
                <m:rPr/>
                <m:t>n</m:t>
              </m:r>
            </m:e>
            <m:sup>
              <m:r>
                <m:rPr/>
                <m:t>2</m:t>
              </m:r>
            </m:sup>
          </m:sSup>
          <m:r>
            <m:rPr>
              <m:sty m:val="p"/>
            </m:rPr>
            <m:t>⋅</m:t>
          </m:r>
          <m:d>
            <m:dPr>
              <m:sepChr m:val=""/>
            </m:dPr>
            <m:e>
              <m:r>
                <m:rPr/>
                <m:t>1</m:t>
              </m:r>
              <m:r>
                <m:rPr>
                  <m:sty m:val="p"/>
                </m:rPr>
                <m:t>−</m:t>
              </m:r>
              <m:f>
                <m:fPr/>
                <m:num>
                  <m:sSub>
                    <m:sSubPr/>
                    <m:e>
                      <m:r>
                        <m:rPr/>
                        <m:t>n</m:t>
                      </m:r>
                    </m:e>
                    <m:sub>
                      <m:r>
                        <m:rPr>
                          <m:nor/>
                          <m:sty m:val="p"/>
                        </m:rPr>
                        <w:rPr>
                          <w:b w:val="0"/>
                          <w:i w:val="0"/>
                        </w:rPr>
                        <m:t>sat</m:t>
                      </m:r>
                    </m:sub>
                  </m:sSub>
                </m:num>
                <m:den>
                  <m:r>
                    <m:rPr/>
                    <m:t>n</m:t>
                  </m:r>
                </m:den>
              </m:f>
            </m:e>
          </m:d>
          <m:r>
            <m:rPr>
              <m:sty m:val="p"/>
            </m:rPr>
            <m:t>⋅</m:t>
          </m:r>
          <m:r>
            <m:rPr/>
            <m:t>H</m:t>
          </m:r>
          <m:sSup>
            <m:sSupPr/>
            <m:e>
              <m:d>
                <m:dPr>
                  <m:sepChr m:val=""/>
                </m:dPr>
                <m:e>
                  <m:r>
                    <m:rPr/>
                    <m:t>t</m:t>
                  </m:r>
                </m:e>
              </m:d>
            </m:e>
            <m:sup>
              <m:r>
                <m:rPr>
                  <m:sty m:val="p"/>
                </m:rPr>
                <m:t>−</m:t>
              </m:r>
              <m:r>
                <m:rPr/>
                <m:t>1</m:t>
              </m:r>
            </m:sup>
          </m:sSup>
        </m:oMath>
      </m:oMathPara>
    </w:p>
    <w:p>
      <w:pPr>
        <w:pStyle w:val="38"/>
        <w:jc w:val="both"/>
      </w:pPr>
      <w:r>
        <w:t>其中</w:t>
      </w:r>
      <m:oMath>
        <m:r>
          <m:rPr/>
          <m:t>k</m:t>
        </m:r>
      </m:oMath>
      <w:r>
        <w:t>为碰撞固化效率系数，</w:t>
      </w:r>
      <m:oMath>
        <m:r>
          <m:rPr/>
          <m:t>H</m:t>
        </m:r>
        <m:d>
          <m:dPr>
            <m:sepChr m:val=""/>
          </m:dPr>
          <m:e>
            <m:r>
              <m:rPr/>
              <m:t>t</m:t>
            </m:r>
          </m:e>
        </m:d>
      </m:oMath>
      <w:r>
        <w:t>为哈勃参数，描述空间膨胀的稀释效应[12、13]。</w:t>
      </w:r>
    </w:p>
    <w:p>
      <w:pPr>
        <w:pStyle w:val="38"/>
        <w:jc w:val="both"/>
      </w:pPr>
      <w:r>
        <w:t>式(4)中</w:t>
      </w:r>
      <m:oMath>
        <m:r>
          <m:rPr/>
          <m:t>H</m:t>
        </m:r>
        <m:sSup>
          <m:sSupPr/>
          <m:e>
            <m:d>
              <m:dPr>
                <m:sepChr m:val=""/>
              </m:dPr>
              <m:e>
                <m:r>
                  <m:rPr/>
                  <m:t>t</m:t>
                </m:r>
              </m:e>
            </m:d>
          </m:e>
          <m:sup>
            <m:r>
              <m:rPr>
                <m:sty m:val="p"/>
              </m:rPr>
              <m:t>−</m:t>
            </m:r>
            <m:r>
              <m:rPr/>
              <m:t>1</m:t>
            </m:r>
          </m:sup>
        </m:sSup>
      </m:oMath>
      <w:r>
        <w:t>项刻画的是早期高密度阶段空间膨胀尚未充分稀释能量时的生成增强效应，其适用域为</w:t>
      </w:r>
      <m:oMath>
        <m:r>
          <m:rPr/>
          <m:t>n</m:t>
        </m:r>
        <m:r>
          <m:rPr>
            <m:sty m:val="p"/>
          </m:rPr>
          <m:t>≫</m:t>
        </m:r>
        <m:sSub>
          <m:sSubPr/>
          <m:e>
            <m:r>
              <m:rPr/>
              <m:t>n</m:t>
            </m:r>
          </m:e>
          <m:sub>
            <m:r>
              <m:rPr>
                <m:nor/>
                <m:sty m:val="p"/>
              </m:rPr>
              <w:rPr>
                <w:b w:val="0"/>
                <w:i w:val="0"/>
              </w:rPr>
              <m:t>sat</m:t>
            </m:r>
          </m:sub>
        </m:sSub>
      </m:oMath>
      <w:r>
        <w:t>且</w:t>
      </w:r>
      <m:oMath>
        <m:r>
          <m:rPr/>
          <m:t>H</m:t>
        </m:r>
        <m:d>
          <m:dPr>
            <m:sepChr m:val=""/>
          </m:dPr>
          <m:e>
            <m:r>
              <m:rPr/>
              <m:t>t</m:t>
            </m:r>
          </m:e>
        </m:d>
      </m:oMath>
      <w:r>
        <w:t>不为零的早期宇宙。当</w:t>
      </w:r>
      <m:oMath>
        <m:r>
          <m:rPr/>
          <m:t>H</m:t>
        </m:r>
        <m:d>
          <m:dPr>
            <m:sepChr m:val=""/>
          </m:dPr>
          <m:e>
            <m:r>
              <m:rPr/>
              <m:t>t</m:t>
            </m:r>
          </m:e>
        </m:d>
        <m:r>
          <m:rPr>
            <m:sty m:val="p"/>
          </m:rPr>
          <m:t>→</m:t>
        </m:r>
        <m:r>
          <m:rPr/>
          <m:t>0</m:t>
        </m:r>
      </m:oMath>
      <w:r>
        <w:t>（静态或极端减速极限）时，该唯象形式需替换为正则化形式：</w:t>
      </w:r>
    </w:p>
    <w:p>
      <w:pPr>
        <w:pStyle w:val="32"/>
        <w:jc w:val="center"/>
      </w:pPr>
      <m:oMathPara>
        <m:oMathParaPr>
          <m:jc m:val="center"/>
        </m:oMathParaPr>
        <m:oMath>
          <m:f>
            <m:fPr/>
            <m:num>
              <m:r>
                <m:rPr/>
                <m:t>d</m:t>
              </m:r>
              <m:sSub>
                <m:sSubPr/>
                <m:e>
                  <m:r>
                    <m:rPr/>
                    <m:t>n</m:t>
                  </m:r>
                </m:e>
                <m:sub>
                  <m:r>
                    <m:rPr/>
                    <m:t>m</m:t>
                  </m:r>
                </m:sub>
              </m:sSub>
            </m:num>
            <m:den>
              <m:r>
                <m:rPr/>
                <m:t>dt</m:t>
              </m:r>
            </m:den>
          </m:f>
          <m:r>
            <m:rPr>
              <m:sty m:val="p"/>
            </m:rPr>
            <m:t>=</m:t>
          </m:r>
          <m:r>
            <m:rPr/>
            <m:t>k</m:t>
          </m:r>
          <m:r>
            <m:rPr>
              <m:sty m:val="p"/>
            </m:rPr>
            <m:t>⋅</m:t>
          </m:r>
          <m:sSup>
            <m:sSupPr/>
            <m:e>
              <m:r>
                <m:rPr/>
                <m:t>n</m:t>
              </m:r>
            </m:e>
            <m:sup>
              <m:r>
                <m:rPr/>
                <m:t>2</m:t>
              </m:r>
            </m:sup>
          </m:sSup>
          <m:r>
            <m:rPr>
              <m:sty m:val="p"/>
            </m:rPr>
            <m:t>⋅</m:t>
          </m:r>
          <m:d>
            <m:dPr>
              <m:sepChr m:val=""/>
            </m:dPr>
            <m:e>
              <m:r>
                <m:rPr/>
                <m:t>1</m:t>
              </m:r>
              <m:r>
                <m:rPr>
                  <m:sty m:val="p"/>
                </m:rPr>
                <m:t>−</m:t>
              </m:r>
              <m:f>
                <m:fPr/>
                <m:num>
                  <m:sSub>
                    <m:sSubPr/>
                    <m:e>
                      <m:r>
                        <m:rPr/>
                        <m:t>n</m:t>
                      </m:r>
                    </m:e>
                    <m:sub>
                      <m:r>
                        <m:rPr>
                          <m:nor/>
                          <m:sty m:val="p"/>
                        </m:rPr>
                        <w:rPr>
                          <w:b w:val="0"/>
                          <w:i w:val="0"/>
                        </w:rPr>
                        <m:t>sat</m:t>
                      </m:r>
                    </m:sub>
                  </m:sSub>
                </m:num>
                <m:den>
                  <m:r>
                    <m:rPr/>
                    <m:t>n</m:t>
                  </m:r>
                </m:den>
              </m:f>
            </m:e>
          </m:d>
          <m:r>
            <m:rPr>
              <m:sty m:val="p"/>
            </m:rPr>
            <m:t>⋅</m:t>
          </m:r>
          <m:f>
            <m:fPr/>
            <m:num>
              <m:sSub>
                <m:sSubPr/>
                <m:e>
                  <m:r>
                    <m:rPr/>
                    <m:t>H</m:t>
                  </m:r>
                </m:e>
                <m:sub>
                  <m:r>
                    <m:rPr/>
                    <m:t>0</m:t>
                  </m:r>
                </m:sub>
              </m:sSub>
            </m:num>
            <m:den>
              <m:r>
                <m:rPr/>
                <m:t>H</m:t>
              </m:r>
              <m:d>
                <m:dPr>
                  <m:sepChr m:val=""/>
                </m:dPr>
                <m:e>
                  <m:r>
                    <m:rPr/>
                    <m:t>t</m:t>
                  </m:r>
                </m:e>
              </m:d>
              <m:r>
                <m:rPr>
                  <m:sty m:val="p"/>
                </m:rPr>
                <m:t>+</m:t>
              </m:r>
              <m:sSub>
                <m:sSubPr/>
                <m:e>
                  <m:r>
                    <m:rPr/>
                    <m:t>H</m:t>
                  </m:r>
                </m:e>
                <m:sub>
                  <m:r>
                    <m:rPr/>
                    <m:t>0</m:t>
                  </m:r>
                </m:sub>
              </m:sSub>
            </m:den>
          </m:f>
        </m:oMath>
      </m:oMathPara>
    </w:p>
    <w:p>
      <w:pPr>
        <w:pStyle w:val="38"/>
        <w:jc w:val="both"/>
      </w:pPr>
      <w:r>
        <w:t>其中</w:t>
      </w:r>
      <m:oMath>
        <m:sSub>
          <m:sSubPr/>
          <m:e>
            <m:r>
              <m:rPr/>
              <m:t>H</m:t>
            </m:r>
          </m:e>
          <m:sub>
            <m:r>
              <m:rPr/>
              <m:t>0</m:t>
            </m:r>
          </m:sub>
        </m:sSub>
      </m:oMath>
      <w:r>
        <w:t>为当前哈勃常数。令</w:t>
      </w:r>
      <m:oMath>
        <m:r>
          <m:rPr/>
          <m:t>k</m:t>
        </m:r>
        <m:r>
          <m:rPr>
            <m:sty m:val="p"/>
          </m:rPr>
          <m:t>′=</m:t>
        </m:r>
        <m:r>
          <m:rPr/>
          <m:t>k</m:t>
        </m:r>
        <m:sSub>
          <m:sSubPr/>
          <m:e>
            <m:r>
              <m:rPr/>
              <m:t>H</m:t>
            </m:r>
          </m:e>
          <m:sub>
            <m:r>
              <m:rPr/>
              <m:t>0</m:t>
            </m:r>
          </m:sub>
        </m:sSub>
      </m:oMath>
      <w:r>
        <w:t>，式(4b)可重写为</w:t>
      </w:r>
      <m:oMath>
        <m:f>
          <m:fPr/>
          <m:num>
            <m:r>
              <m:rPr/>
              <m:t>d</m:t>
            </m:r>
            <m:sSub>
              <m:sSubPr/>
              <m:e>
                <m:r>
                  <m:rPr/>
                  <m:t>n</m:t>
                </m:r>
              </m:e>
              <m:sub>
                <m:r>
                  <m:rPr/>
                  <m:t>m</m:t>
                </m:r>
              </m:sub>
            </m:sSub>
          </m:num>
          <m:den>
            <m:r>
              <m:rPr/>
              <m:t>dt</m:t>
            </m:r>
          </m:den>
        </m:f>
        <m:r>
          <m:rPr>
            <m:sty m:val="p"/>
          </m:rPr>
          <m:t>=</m:t>
        </m:r>
        <m:r>
          <m:rPr/>
          <m:t>k</m:t>
        </m:r>
        <m:r>
          <m:rPr>
            <m:sty m:val="p"/>
          </m:rPr>
          <m:t>′</m:t>
        </m:r>
        <m:sSup>
          <m:sSupPr/>
          <m:e>
            <m:r>
              <m:rPr/>
              <m:t>n</m:t>
            </m:r>
          </m:e>
          <m:sup>
            <m:r>
              <m:rPr/>
              <m:t>2</m:t>
            </m:r>
          </m:sup>
        </m:sSup>
        <m:d>
          <m:dPr>
            <m:sepChr m:val=""/>
          </m:dPr>
          <m:e>
            <m:r>
              <m:rPr/>
              <m:t>1</m:t>
            </m:r>
            <m:r>
              <m:rPr>
                <m:sty m:val="p"/>
              </m:rPr>
              <m:t>−</m:t>
            </m:r>
            <m:sSub>
              <m:sSubPr/>
              <m:e>
                <m:r>
                  <m:rPr/>
                  <m:t>n</m:t>
                </m:r>
              </m:e>
              <m:sub>
                <m:r>
                  <m:rPr>
                    <m:nor/>
                    <m:sty m:val="p"/>
                  </m:rPr>
                  <w:rPr>
                    <w:b w:val="0"/>
                    <w:i w:val="0"/>
                  </w:rPr>
                  <m:t>sat</m:t>
                </m:r>
              </m:sub>
            </m:sSub>
            <m:r>
              <m:rPr>
                <m:sty m:val="p"/>
              </m:rPr>
              <m:t>/</m:t>
            </m:r>
            <m:r>
              <m:rPr/>
              <m:t>n</m:t>
            </m:r>
          </m:e>
        </m:d>
        <m:r>
          <m:rPr>
            <m:sty m:val="p"/>
          </m:rPr>
          <m:t>/</m:t>
        </m:r>
        <m:d>
          <m:dPr>
            <m:sepChr m:val=""/>
          </m:dPr>
          <m:e>
            <m:r>
              <m:rPr/>
              <m:t>H</m:t>
            </m:r>
            <m:r>
              <m:rPr>
                <m:sty m:val="p"/>
              </m:rPr>
              <m:t>+</m:t>
            </m:r>
            <m:sSub>
              <m:sSubPr/>
              <m:e>
                <m:r>
                  <m:rPr/>
                  <m:t>H</m:t>
                </m:r>
              </m:e>
              <m:sub>
                <m:r>
                  <m:rPr/>
                  <m:t>0</m:t>
                </m:r>
              </m:sub>
            </m:sSub>
          </m:e>
        </m:d>
      </m:oMath>
      <w:r>
        <w:t>；当</w:t>
      </w:r>
      <m:oMath>
        <m:r>
          <m:rPr/>
          <m:t>H</m:t>
        </m:r>
        <m:r>
          <m:rPr>
            <m:sty m:val="p"/>
          </m:rPr>
          <m:t>≫</m:t>
        </m:r>
        <m:sSub>
          <m:sSubPr/>
          <m:e>
            <m:r>
              <m:rPr/>
              <m:t>H</m:t>
            </m:r>
          </m:e>
          <m:sub>
            <m:r>
              <m:rPr/>
              <m:t>0</m:t>
            </m:r>
          </m:sub>
        </m:sSub>
      </m:oMath>
      <w:r>
        <w:t>时，该式与式(4)的</w:t>
      </w:r>
      <m:oMath>
        <m:r>
          <m:rPr/>
          <m:t>k</m:t>
        </m:r>
        <m:sSup>
          <m:sSupPr/>
          <m:e>
            <m:r>
              <m:rPr/>
              <m:t>n</m:t>
            </m:r>
          </m:e>
          <m:sup>
            <m:r>
              <m:rPr/>
              <m:t>2</m:t>
            </m:r>
          </m:sup>
        </m:sSup>
        <m:d>
          <m:dPr>
            <m:sepChr m:val=""/>
          </m:dPr>
          <m:e>
            <m:r>
              <m:rPr/>
              <m:t>1</m:t>
            </m:r>
            <m:r>
              <m:rPr>
                <m:sty m:val="p"/>
              </m:rPr>
              <m:t>−</m:t>
            </m:r>
            <m:sSub>
              <m:sSubPr/>
              <m:e>
                <m:r>
                  <m:rPr/>
                  <m:t>n</m:t>
                </m:r>
              </m:e>
              <m:sub>
                <m:r>
                  <m:rPr>
                    <m:nor/>
                    <m:sty m:val="p"/>
                  </m:rPr>
                  <w:rPr>
                    <w:b w:val="0"/>
                    <w:i w:val="0"/>
                  </w:rPr>
                  <m:t>sat</m:t>
                </m:r>
              </m:sub>
            </m:sSub>
            <m:r>
              <m:rPr>
                <m:sty m:val="p"/>
              </m:rPr>
              <m:t>/</m:t>
            </m:r>
            <m:r>
              <m:rPr/>
              <m:t>n</m:t>
            </m:r>
          </m:e>
        </m:d>
        <m:r>
          <m:rPr>
            <m:sty m:val="p"/>
          </m:rPr>
          <m:t>/</m:t>
        </m:r>
        <m:r>
          <m:rPr/>
          <m:t>H</m:t>
        </m:r>
      </m:oMath>
      <w:r>
        <w:t>形式一致（</w:t>
      </w:r>
      <m:oMath>
        <m:r>
          <m:rPr/>
          <m:t>k</m:t>
        </m:r>
        <m:r>
          <m:rPr>
            <m:sty m:val="p"/>
          </m:rPr>
          <m:t>′=</m:t>
        </m:r>
        <m:r>
          <m:rPr/>
          <m:t>k</m:t>
        </m:r>
        <m:sSub>
          <m:sSubPr/>
          <m:e>
            <m:r>
              <m:rPr/>
              <m:t>H</m:t>
            </m:r>
          </m:e>
          <m:sub>
            <m:r>
              <m:rPr/>
              <m:t>0</m:t>
            </m:r>
          </m:sub>
        </m:sSub>
      </m:oMath>
      <w:r>
        <w:t>即两式的系数关系），当</w:t>
      </w:r>
      <m:oMath>
        <m:r>
          <m:rPr/>
          <m:t>H</m:t>
        </m:r>
        <m:r>
          <m:rPr>
            <m:sty m:val="p"/>
          </m:rPr>
          <m:t>→</m:t>
        </m:r>
        <m:r>
          <m:rPr/>
          <m:t>0</m:t>
        </m:r>
      </m:oMath>
      <w:r>
        <w:t>时给出有限生成率</w:t>
      </w:r>
      <m:oMath>
        <m:r>
          <m:rPr/>
          <m:t>k</m:t>
        </m:r>
        <m:r>
          <m:rPr>
            <m:sty m:val="p"/>
          </m:rPr>
          <m:t>′</m:t>
        </m:r>
        <m:sSup>
          <m:sSupPr/>
          <m:e>
            <m:r>
              <m:rPr/>
              <m:t>n</m:t>
            </m:r>
          </m:e>
          <m:sup>
            <m:r>
              <m:rPr/>
              <m:t>2</m:t>
            </m:r>
          </m:sup>
        </m:sSup>
        <m:d>
          <m:dPr>
            <m:sepChr m:val=""/>
          </m:dPr>
          <m:e>
            <m:r>
              <m:rPr/>
              <m:t>1</m:t>
            </m:r>
            <m:r>
              <m:rPr>
                <m:sty m:val="p"/>
              </m:rPr>
              <m:t>−</m:t>
            </m:r>
            <m:sSub>
              <m:sSubPr/>
              <m:e>
                <m:r>
                  <m:rPr/>
                  <m:t>n</m:t>
                </m:r>
              </m:e>
              <m:sub>
                <m:r>
                  <m:rPr>
                    <m:nor/>
                    <m:sty m:val="p"/>
                  </m:rPr>
                  <w:rPr>
                    <w:b w:val="0"/>
                    <w:i w:val="0"/>
                  </w:rPr>
                  <m:t>sat</m:t>
                </m:r>
              </m:sub>
            </m:sSub>
            <m:r>
              <m:rPr>
                <m:sty m:val="p"/>
              </m:rPr>
              <m:t>/</m:t>
            </m:r>
            <m:r>
              <m:rPr/>
              <m:t>n</m:t>
            </m:r>
          </m:e>
        </m:d>
        <m:r>
          <m:rPr>
            <m:sty m:val="p"/>
          </m:rPr>
          <m:t>/</m:t>
        </m:r>
        <m:sSub>
          <m:sSubPr/>
          <m:e>
            <m:r>
              <m:rPr/>
              <m:t>H</m:t>
            </m:r>
          </m:e>
          <m:sub>
            <m:r>
              <m:rPr/>
              <m:t>0</m:t>
            </m:r>
          </m:sub>
        </m:sSub>
      </m:oMath>
      <w:r>
        <w:t>，避免原式在静态极限下发散。两式在</w:t>
      </w:r>
      <m:oMath>
        <m:r>
          <m:rPr/>
          <m:t>n</m:t>
        </m:r>
        <m:r>
          <m:rPr>
            <m:sty m:val="p"/>
          </m:rPr>
          <m:t>→</m:t>
        </m:r>
        <m:sSub>
          <m:sSubPr/>
          <m:e>
            <m:r>
              <m:rPr/>
              <m:t>n</m:t>
            </m:r>
          </m:e>
          <m:sub>
            <m:r>
              <m:rPr>
                <m:nor/>
                <m:sty m:val="p"/>
              </m:rPr>
              <w:rPr>
                <w:b w:val="0"/>
                <w:i w:val="0"/>
              </w:rPr>
              <m:t>sat</m:t>
            </m:r>
          </m:sub>
        </m:sSub>
      </m:oMath>
      <w:r>
        <w:t>时均给出生成率趋于零，与“现代宇宙不再大规模生质”的叙事一致。</w:t>
      </w:r>
    </w:p>
    <w:p>
      <w:pPr>
        <w:pStyle w:val="38"/>
        <w:jc w:val="both"/>
      </w:pPr>
      <w:r>
        <w:t>当</w:t>
      </w:r>
      <m:oMath>
        <m:r>
          <m:rPr/>
          <m:t>n</m:t>
        </m:r>
        <m:r>
          <m:rPr>
            <m:sty m:val="p"/>
          </m:rPr>
          <m:t>≫</m:t>
        </m:r>
        <m:sSub>
          <m:sSubPr/>
          <m:e>
            <m:r>
              <m:rPr/>
              <m:t>n</m:t>
            </m:r>
          </m:e>
          <m:sub>
            <m:r>
              <m:rPr>
                <m:nor/>
                <m:sty m:val="p"/>
              </m:rPr>
              <w:rPr>
                <w:b w:val="0"/>
                <w:i w:val="0"/>
              </w:rPr>
              <m:t>sat</m:t>
            </m:r>
          </m:sub>
        </m:sSub>
      </m:oMath>
      <w:r>
        <w:t>时，生成率正比于密度平方，对应早期宇宙高密度环境下的暴涨式物质生成；当</w:t>
      </w:r>
      <m:oMath>
        <m:r>
          <m:rPr/>
          <m:t>n</m:t>
        </m:r>
        <m:r>
          <m:rPr>
            <m:sty m:val="p"/>
          </m:rPr>
          <m:t>→</m:t>
        </m:r>
        <m:sSub>
          <m:sSubPr/>
          <m:e>
            <m:r>
              <m:rPr/>
              <m:t>n</m:t>
            </m:r>
          </m:e>
          <m:sub>
            <m:r>
              <m:rPr>
                <m:nor/>
                <m:sty m:val="p"/>
              </m:rPr>
              <w:rPr>
                <w:b w:val="0"/>
                <w:i w:val="0"/>
              </w:rPr>
              <m:t>sat</m:t>
            </m:r>
          </m:sub>
        </m:sSub>
      </m:oMath>
      <w:r>
        <w:t>时，生成率趋近于0，宇宙进入以引力主导的结构演化阶段。</w:t>
      </w:r>
    </w:p>
    <w:p>
      <w:pPr>
        <w:pStyle w:val="38"/>
        <w:jc w:val="both"/>
      </w:pPr>
      <w:r>
        <w:t>该机制直接解释了为何宇宙物质主要形成于极早期，而现代宇宙不再大规模新生物质：空间膨胀稀释了能量密度，拥挤碰撞的固化条件不再满足。</w:t>
      </w:r>
    </w:p>
    <w:p>
      <w:pPr>
        <w:pStyle w:val="38"/>
        <w:jc w:val="both"/>
      </w:pPr>
      <w:r>
        <w:t>关于视界问题，本框架给出如下定性图像：早期宇宙在物质批量生成之前，三维空间各区域通过高维本体的统一演化时序保持跨维连通；白洞注入的高通量能量在极短时间内使可观测宇宙各区域共享同一套高维演化相位，从而为CMB的大尺度均匀性提供因果基础。定量的因果连通性分析需要建立跨维几何的度规演化方程，留待后续工作[14、15]。</w:t>
      </w:r>
    </w:p>
    <w:p>
      <w:pPr>
        <w:pStyle w:val="29"/>
      </w:pPr>
      <w:r>
        <w:t>宇宙微波背景辐射的起源</w:t>
      </w:r>
    </w:p>
    <w:p>
      <w:pPr>
        <w:pStyle w:val="38"/>
        <w:jc w:val="both"/>
      </w:pPr>
      <w:r>
        <w:t>并非所有白洞喷涌的能量都参与了拥挤碰撞与质量生成。一部分能量单元在喷射后未发生有效碰撞耦合，跌落本征速度始终维持在</w:t>
      </w:r>
      <m:oMath>
        <m:r>
          <m:rPr/>
          <m:t>c</m:t>
        </m:r>
      </m:oMath>
      <w:r>
        <w:t>附近，不衰减、不固化、不产生静质量。这部分自由传播的原始跌落能量，就是当前观测到的宇宙微波背景辐射（CMB）[16、17]。</w:t>
      </w:r>
    </w:p>
    <w:p>
      <w:pPr>
        <w:pStyle w:val="38"/>
        <w:jc w:val="both"/>
      </w:pPr>
      <w:r>
        <w:t>该机制回答了宇宙学经典疑问：为何大爆炸残留的辐射历经百亿年仍以近光速传播，未转化为物质——其本质是未受阻滞的纯跌落态能量，不满足质量生成的碰撞耦合条件。</w:t>
      </w:r>
    </w:p>
    <w:p>
      <w:pPr>
        <w:pStyle w:val="38"/>
        <w:jc w:val="both"/>
      </w:pPr>
      <w:r>
        <w:t>关于CMB的黑体谱特征，本框架给出定性说明：自由下降能量在三维空间中传播时，空间膨胀使其波长同步拉长、能量密度稀释，形成连续红移谱。早期宇宙中自由下降能量与已固化物质之间存在微弱跨维耦合，在复合时期之前足以使二者达到统计平衡，赋予自由下降能量黑体谱形式；复合后耦合中断，自由下降能量以近似黑体谱自由传播至今。此外，高维原生能量注入三维空间时的统计分布本身即具有接近热谱的特征，这与白洞通道注入高通量能量的设定一致；严格的谱形推导留待后续定量工作[1、18]。</w:t>
      </w:r>
    </w:p>
    <w:p>
      <w:pPr>
        <w:pStyle w:val="38"/>
        <w:jc w:val="both"/>
      </w:pPr>
      <w:r>
        <w:t>需要明示，上述热化机制引入了“自由下降能量与已固化物质之间存在微弱跨维耦合”这一额外假设，该假设不在四条基础公理之列，属于当前框架的开放问题；下一版将尝试从公理2的“维度通道耦合条件”中导出该耦合的强度与形式。</w:t>
      </w:r>
    </w:p>
    <w:p>
      <w:pPr>
        <w:pStyle w:val="37"/>
      </w:pPr>
      <w:r>
        <w:t>基本相互作用的统一解释：同源的跨维张力效应</w:t>
      </w:r>
    </w:p>
    <w:p>
      <w:pPr>
        <w:pStyle w:val="38"/>
        <w:jc w:val="both"/>
      </w:pPr>
      <w:r>
        <w:t>本纲领认为，四种基本相互作用并非彼此独立的基础力，而是维度界面之间跨维张力在不同维度组合、不同空间尺度下的派生表现。</w:t>
      </w:r>
    </w:p>
    <w:p>
      <w:pPr>
        <w:pStyle w:val="38"/>
        <w:jc w:val="both"/>
      </w:pPr>
      <w:r>
        <w:t>四种相互作用的强度差异，在本框架中对应不同维度界面组合的通道宽度与贴合紧密度差异。引力对应3D→2D通道，通道截面极窄、泄漏率低，只有大质量聚集才能拽出可观测形变，因此在四种力中最弱；核力对应4D-3D界面在极短距离内的紧密贴合，张力直接作用、无中间稀释，因此在微观尺度上最强；电磁力对应4D→3D跃迁张力，强度居中，且因涉及电荷符号而呈现吸引与排斥两种极性。这一量级叙事为四种力的强度排序提供统一通道图像，定量强度比计算留待后续工作[19、20]。</w:t>
      </w:r>
    </w:p>
    <w:p>
      <w:pPr>
        <w:pStyle w:val="29"/>
      </w:pPr>
      <w:r>
        <w:t>引力：三维-二维跨维跌落张力</w:t>
      </w:r>
    </w:p>
    <w:p>
      <w:pPr>
        <w:pStyle w:val="38"/>
        <w:jc w:val="both"/>
      </w:pPr>
      <w:r>
        <w:t>引力是三维能量向二维空间跌落造成的空间扭曲效应。定义空间形变量</w:t>
      </w:r>
      <m:oMath>
        <m:r>
          <m:rPr/>
          <m:t>ε</m:t>
        </m:r>
      </m:oMath>
      <w:r>
        <w:t>，其与局域静质量密度</w:t>
      </w:r>
      <m:oMath>
        <m:sSub>
          <m:sSubPr/>
          <m:e>
            <m:r>
              <m:rPr/>
              <m:t>ρ</m:t>
            </m:r>
          </m:e>
          <m:sub>
            <m:r>
              <m:rPr/>
              <m:t>m</m:t>
            </m:r>
          </m:sub>
        </m:sSub>
      </m:oMath>
      <w:r>
        <w:t>满足泊松型唯象方程：</w:t>
      </w:r>
    </w:p>
    <w:p>
      <w:pPr>
        <w:pStyle w:val="32"/>
        <w:jc w:val="center"/>
      </w:pPr>
      <m:oMathPara>
        <m:oMathParaPr>
          <m:jc m:val="center"/>
        </m:oMathParaPr>
        <m:oMath>
          <m:sSup>
            <m:sSupPr/>
            <m:e>
              <m:r>
                <m:rPr>
                  <m:sty m:val="p"/>
                </m:rPr>
                <m:t>∇</m:t>
              </m:r>
            </m:e>
            <m:sup>
              <m:r>
                <m:rPr/>
                <m:t>2</m:t>
              </m:r>
            </m:sup>
          </m:sSup>
          <m:r>
            <m:rPr/>
            <m:t>ε</m:t>
          </m:r>
          <m:r>
            <m:rPr>
              <m:sty m:val="p"/>
            </m:rPr>
            <m:t>=</m:t>
          </m:r>
          <m:r>
            <m:rPr/>
            <m:t>4π</m:t>
          </m:r>
          <m:sSub>
            <m:sSubPr/>
            <m:e>
              <m:r>
                <m:rPr/>
                <m:t>G</m:t>
              </m:r>
            </m:e>
            <m:sub>
              <m:r>
                <m:rPr>
                  <m:sty m:val="p"/>
                </m:rPr>
                <m:t>⊥</m:t>
              </m:r>
            </m:sub>
          </m:sSub>
          <m:sSub>
            <m:sSubPr/>
            <m:e>
              <m:r>
                <m:rPr/>
                <m:t>ρ</m:t>
              </m:r>
            </m:e>
            <m:sub>
              <m:r>
                <m:rPr/>
                <m:t>m</m:t>
              </m:r>
            </m:sub>
          </m:sSub>
        </m:oMath>
      </m:oMathPara>
    </w:p>
    <w:p>
      <w:pPr>
        <w:pStyle w:val="38"/>
        <w:jc w:val="both"/>
      </w:pPr>
      <w:r>
        <w:t>其中</w:t>
      </w:r>
      <m:oMath>
        <m:sSub>
          <m:sSubPr/>
          <m:e>
            <m:r>
              <m:rPr/>
              <m:t>G</m:t>
            </m:r>
          </m:e>
          <m:sub>
            <m:r>
              <m:rPr>
                <m:sty m:val="p"/>
              </m:rPr>
              <m:t>⊥</m:t>
            </m:r>
          </m:sub>
        </m:sSub>
      </m:oMath>
      <w:r>
        <w:t>为跨维张力系数。形变量</w:t>
      </w:r>
      <m:oMath>
        <m:r>
          <m:rPr/>
          <m:t>ε</m:t>
        </m:r>
      </m:oMath>
      <w:r>
        <w:t>与引力势</w:t>
      </w:r>
      <m:oMath>
        <m:r>
          <m:rPr/>
          <m:t>Φ</m:t>
        </m:r>
      </m:oMath>
      <w:r>
        <w:t>满足线性映射</w:t>
      </w:r>
      <m:oMath>
        <m:r>
          <m:rPr/>
          <m:t>Φ</m:t>
        </m:r>
        <m:r>
          <m:rPr>
            <m:sty m:val="p"/>
          </m:rPr>
          <m:t>∝</m:t>
        </m:r>
        <m:r>
          <m:rPr/>
          <m:t>ε</m:t>
        </m:r>
      </m:oMath>
      <w:r>
        <w:t>，弱场低速、小形变近似下，该式退化为牛顿引力泊松方程，与日常观测完全兼容[21]。</w:t>
      </w:r>
    </w:p>
    <w:p>
      <w:pPr>
        <w:pStyle w:val="29"/>
      </w:pPr>
      <w:r>
        <w:t>电磁力：四维-三维跨维跃迁张力</w:t>
      </w:r>
    </w:p>
    <w:p>
      <w:pPr>
        <w:pStyle w:val="38"/>
        <w:jc w:val="both"/>
      </w:pPr>
      <w:r>
        <w:t>电子属于未完全冻结的高维能量投影，天然存在向四维反向跃迁的趋势，形成反向跨维引力，对应异种电荷相互吸引；同时受三维空间能量饱和阈值约束，同类高能投影聚集时产生饱和排斥效应，对应同种电荷相互排斥[22]。</w:t>
      </w:r>
    </w:p>
    <w:p>
      <w:pPr>
        <w:pStyle w:val="29"/>
      </w:pPr>
      <w:r>
        <w:t>核力：四维-三维界面短程强耦合张力</w:t>
      </w:r>
    </w:p>
    <w:p>
      <w:pPr>
        <w:pStyle w:val="38"/>
        <w:jc w:val="both"/>
      </w:pPr>
      <w:r>
        <w:t>核力是四维-三维界面在极微观距离下的强耦合束缚张力，采用类汤川势形式描述其随距离的变化：</w:t>
      </w:r>
    </w:p>
    <w:p>
      <w:pPr>
        <w:pStyle w:val="32"/>
        <w:jc w:val="center"/>
      </w:pPr>
      <m:oMathPara>
        <m:oMathParaPr>
          <m:jc m:val="center"/>
        </m:oMathParaPr>
        <m:oMath>
          <m:r>
            <m:rPr/>
            <m:t>V</m:t>
          </m:r>
          <m:d>
            <m:dPr>
              <m:sepChr m:val=""/>
            </m:dPr>
            <m:e>
              <m:r>
                <m:rPr/>
                <m:t>r</m:t>
              </m:r>
            </m:e>
          </m:d>
          <m:r>
            <m:rPr>
              <m:sty m:val="p"/>
            </m:rPr>
            <m:t>=−</m:t>
          </m:r>
          <m:sSub>
            <m:sSubPr/>
            <m:e>
              <m:r>
                <m:rPr/>
                <m:t>V</m:t>
              </m:r>
            </m:e>
            <m:sub>
              <m:r>
                <m:rPr/>
                <m:t>0</m:t>
              </m:r>
            </m:sub>
          </m:sSub>
          <m:r>
            <m:rPr>
              <m:sty m:val="p"/>
            </m:rPr>
            <m:t>⋅</m:t>
          </m:r>
          <m:f>
            <m:fPr/>
            <m:num>
              <m:sSup>
                <m:sSupPr/>
                <m:e>
                  <m:r>
                    <m:rPr/>
                    <m:t>e</m:t>
                  </m:r>
                </m:e>
                <m:sup>
                  <m:r>
                    <m:rPr>
                      <m:sty m:val="p"/>
                    </m:rPr>
                    <m:t>−</m:t>
                  </m:r>
                  <m:r>
                    <m:rPr/>
                    <m:t>r</m:t>
                  </m:r>
                  <m:r>
                    <m:rPr>
                      <m:sty m:val="p"/>
                    </m:rPr>
                    <m:t>/</m:t>
                  </m:r>
                  <m:sSub>
                    <m:sSubPr/>
                    <m:e>
                      <m:r>
                        <m:rPr/>
                        <m:t>r</m:t>
                      </m:r>
                    </m:e>
                    <m:sub>
                      <m:r>
                        <m:rPr/>
                        <m:t>0</m:t>
                      </m:r>
                    </m:sub>
                  </m:sSub>
                </m:sup>
              </m:sSup>
            </m:num>
            <m:den>
              <m:r>
                <m:rPr/>
                <m:t>r</m:t>
              </m:r>
              <m:r>
                <m:rPr>
                  <m:sty m:val="p"/>
                </m:rPr>
                <m:t>/</m:t>
              </m:r>
              <m:sSub>
                <m:sSubPr/>
                <m:e>
                  <m:r>
                    <m:rPr/>
                    <m:t>r</m:t>
                  </m:r>
                </m:e>
                <m:sub>
                  <m:r>
                    <m:rPr/>
                    <m:t>0</m:t>
                  </m:r>
                </m:sub>
              </m:sSub>
            </m:den>
          </m:f>
        </m:oMath>
      </m:oMathPara>
    </w:p>
    <w:p>
      <w:pPr>
        <w:pStyle w:val="38"/>
        <w:jc w:val="both"/>
      </w:pPr>
      <w:r>
        <w:t>其中</w:t>
      </w:r>
      <m:oMath>
        <m:sSub>
          <m:sSubPr/>
          <m:e>
            <m:r>
              <m:rPr/>
              <m:t>r</m:t>
            </m:r>
          </m:e>
          <m:sub>
            <m:r>
              <m:rPr/>
              <m:t>0</m:t>
            </m:r>
          </m:sub>
        </m:sSub>
      </m:oMath>
      <w:r>
        <w:t>为跨维耦合临界距离（约</w:t>
      </w:r>
      <m:oMath>
        <m:sSup>
          <m:sSupPr/>
          <m:e>
            <m:r>
              <m:rPr/>
              <m:t>10</m:t>
            </m:r>
          </m:e>
          <m:sup>
            <m:r>
              <m:rPr>
                <m:sty m:val="p"/>
              </m:rPr>
              <m:t>−</m:t>
            </m:r>
            <m:r>
              <m:rPr/>
              <m:t>15</m:t>
            </m:r>
          </m:sup>
        </m:sSup>
        <m:r>
          <m:rPr>
            <m:nor/>
            <m:sty m:val="p"/>
          </m:rPr>
          <w:rPr>
            <w:b w:val="0"/>
            <w:i w:val="0"/>
          </w:rPr>
          <m:t>m</m:t>
        </m:r>
      </m:oMath>
      <w:r>
        <w:t>量级），</w:t>
      </w:r>
      <m:oMath>
        <m:sSub>
          <m:sSubPr/>
          <m:e>
            <m:r>
              <m:rPr/>
              <m:t>V</m:t>
            </m:r>
          </m:e>
          <m:sub>
            <m:r>
              <m:rPr/>
              <m:t>0</m:t>
            </m:r>
          </m:sub>
        </m:sSub>
      </m:oMath>
      <w:r>
        <w:t>为耦合势深度。 当粒子间距小于临界尺度时，跨维投影界面紧密贴合，耦合条件成立，强束缚作用显现；粒子间距超过临界值后，跨维耦合指数衰减，作用力迅速消失，完美匹配核力“短程、强吸引、饱和性”的实验特征[23、24]。</w:t>
      </w:r>
    </w:p>
    <w:p>
      <w:pPr>
        <w:pStyle w:val="29"/>
      </w:pPr>
      <w:r>
        <w:t>黑洞、白洞与暗物质效应</w:t>
      </w:r>
    </w:p>
    <w:p>
      <w:pPr>
        <w:pStyle w:val="38"/>
        <w:jc w:val="both"/>
      </w:pPr>
      <w:r>
        <w:t xml:space="preserve">• </w:t>
      </w:r>
      <w:r>
        <w:rPr>
          <w:b/>
          <w:bCs/>
        </w:rPr>
        <w:t>黑洞</w:t>
      </w:r>
      <w:r>
        <w:t>：三维能量向二维跌落的稳定通道，依赖持续物质流入维持界面稳定；物质供给不足时，维度通道逐步消散[25、21]。</w:t>
      </w:r>
    </w:p>
    <w:p>
      <w:pPr>
        <w:pStyle w:val="38"/>
        <w:jc w:val="both"/>
      </w:pPr>
      <w:r>
        <w:t xml:space="preserve">• </w:t>
      </w:r>
      <w:r>
        <w:rPr>
          <w:b/>
          <w:bCs/>
        </w:rPr>
        <w:t>白洞</w:t>
      </w:r>
      <w:r>
        <w:t>：四维能量向三维注入的通道；大爆炸奇点为宇宙尺度的白洞事件。黑洞与白洞属于不同类型的维度通道，不存在“黑洞直通白洞”的拓扑结构。</w:t>
      </w:r>
    </w:p>
    <w:p>
      <w:pPr>
        <w:pStyle w:val="38"/>
        <w:jc w:val="both"/>
      </w:pPr>
      <w:r>
        <w:t xml:space="preserve">• </w:t>
      </w:r>
      <w:r>
        <w:rPr>
          <w:b/>
          <w:bCs/>
        </w:rPr>
        <w:t>暗物质效应</w:t>
      </w:r>
      <w:r>
        <w:t>：来源于历史上已熄灭的古黑洞遗留的三维-二维跨维扭曲张力。残留引力势随时间与空间距离满足衰减关系：</w:t>
      </w:r>
    </w:p>
    <w:p>
      <w:pPr>
        <w:pStyle w:val="32"/>
        <w:jc w:val="center"/>
      </w:pPr>
      <m:oMathPara>
        <m:oMathParaPr>
          <m:jc m:val="center"/>
        </m:oMathParaPr>
        <m:oMath>
          <m:r>
            <m:rPr/>
            <m:t>Φ</m:t>
          </m:r>
          <m:d>
            <m:dPr>
              <m:sepChr m:val=""/>
            </m:dPr>
            <m:e>
              <m:r>
                <m:rPr/>
                <m:t>r</m:t>
              </m:r>
              <m:r>
                <m:rPr>
                  <m:sty m:val="p"/>
                </m:rPr>
                <m:t>,</m:t>
              </m:r>
              <m:r>
                <m:rPr/>
                <m:t>t</m:t>
              </m:r>
            </m:e>
          </m:d>
          <m:r>
            <m:rPr>
              <m:sty m:val="p"/>
            </m:rPr>
            <m:t>=</m:t>
          </m:r>
          <m:sSub>
            <m:sSubPr/>
            <m:e>
              <m:r>
                <m:rPr/>
                <m:t>Φ</m:t>
              </m:r>
            </m:e>
            <m:sub>
              <m:r>
                <m:rPr/>
                <m:t>0</m:t>
              </m:r>
            </m:sub>
          </m:sSub>
          <m:r>
            <m:rPr>
              <m:sty m:val="p"/>
            </m:rPr>
            <m:t>⋅</m:t>
          </m:r>
          <m:f>
            <m:fPr/>
            <m:num>
              <m:sSup>
                <m:sSupPr/>
                <m:e>
                  <m:r>
                    <m:rPr/>
                    <m:t>e</m:t>
                  </m:r>
                </m:e>
                <m:sup>
                  <m:r>
                    <m:rPr>
                      <m:sty m:val="p"/>
                    </m:rPr>
                    <m:t>−</m:t>
                  </m:r>
                  <m:r>
                    <m:rPr/>
                    <m:t>t</m:t>
                  </m:r>
                  <m:r>
                    <m:rPr>
                      <m:sty m:val="p"/>
                    </m:rPr>
                    <m:t>/</m:t>
                  </m:r>
                  <m:r>
                    <m:rPr/>
                    <m:t>τ</m:t>
                  </m:r>
                </m:sup>
              </m:sSup>
            </m:num>
            <m:den>
              <m:r>
                <m:rPr/>
                <m:t>r</m:t>
              </m:r>
            </m:den>
          </m:f>
          <m:r>
            <m:rPr>
              <m:sty m:val="p"/>
            </m:rPr>
            <m:t>⋅</m:t>
          </m:r>
          <m:sSup>
            <m:sSupPr/>
            <m:e>
              <m:r>
                <m:rPr/>
                <m:t>e</m:t>
              </m:r>
            </m:e>
            <m:sup>
              <m:r>
                <m:rPr>
                  <m:sty m:val="p"/>
                </m:rPr>
                <m:t>−</m:t>
              </m:r>
              <m:r>
                <m:rPr/>
                <m:t>r</m:t>
              </m:r>
              <m:r>
                <m:rPr>
                  <m:sty m:val="p"/>
                </m:rPr>
                <m:t>/</m:t>
              </m:r>
              <m:sSub>
                <m:sSubPr/>
                <m:e>
                  <m:r>
                    <m:rPr/>
                    <m:t>r</m:t>
                  </m:r>
                </m:e>
                <m:sub>
                  <m:r>
                    <m:rPr/>
                    <m:t>d</m:t>
                  </m:r>
                </m:sub>
              </m:sSub>
            </m:sup>
          </m:sSup>
        </m:oMath>
      </m:oMathPara>
    </w:p>
    <w:p>
      <w:pPr>
        <w:pStyle w:val="38"/>
        <w:jc w:val="both"/>
      </w:pPr>
      <w:r>
        <w:t>• 其中</w:t>
      </w:r>
      <m:oMath>
        <m:r>
          <m:rPr/>
          <m:t>τ</m:t>
        </m:r>
      </m:oMath>
      <w:r>
        <w:t>为跨维张力弛豫时间，</w:t>
      </w:r>
      <m:oMath>
        <m:sSub>
          <m:sSubPr/>
          <m:e>
            <m:r>
              <m:rPr/>
              <m:t>r</m:t>
            </m:r>
          </m:e>
          <m:sub>
            <m:r>
              <m:rPr/>
              <m:t>d</m:t>
            </m:r>
          </m:sub>
        </m:sSub>
      </m:oMath>
      <w:r>
        <w:t>为张力空间衰减特征尺度。暗物质信号集中于曾形成黑洞的区域，宇宙空洞区域残留张力弱，暗物质丰度偏低[26、27]。</w:t>
      </w:r>
    </w:p>
    <w:p>
      <w:pPr>
        <w:pStyle w:val="38"/>
        <w:jc w:val="both"/>
      </w:pPr>
      <w:r>
        <w:t>式(7)描述单个古黑洞残迹源在三维空间留下的引力势。星系尺度上的总引力势由大量独立残迹源贡献积分叠加得到。在残迹源空间分布近似均匀、且观测尺度</w:t>
      </w:r>
      <m:oMath>
        <m:r>
          <m:rPr/>
          <m:t>r</m:t>
        </m:r>
      </m:oMath>
      <w:r>
        <w:t>远小于集体衰减尺度</w:t>
      </w:r>
      <m:oMath>
        <m:sSubSup>
          <m:sSubSupPr/>
          <m:e>
            <m:r>
              <m:rPr/>
              <m:t>r</m:t>
            </m:r>
          </m:e>
          <m:sub>
            <m:r>
              <m:rPr/>
              <m:t>d</m:t>
            </m:r>
          </m:sub>
          <m:sup>
            <m:r>
              <m:rPr>
                <m:nor/>
                <m:sty m:val="p"/>
              </m:rPr>
              <w:rPr>
                <w:b w:val="0"/>
                <w:i w:val="0"/>
              </w:rPr>
              <m:t>gal</m:t>
            </m:r>
          </m:sup>
        </m:sSubSup>
      </m:oMath>
      <w:r>
        <w:t>的条件下，总势近似为对数形式（该形式可由泊松方程</w:t>
      </w:r>
      <m:oMath>
        <m:sSup>
          <m:sSupPr/>
          <m:e>
            <m:r>
              <m:rPr>
                <m:sty m:val="p"/>
              </m:rPr>
              <m:t>∇</m:t>
            </m:r>
          </m:e>
          <m:sup>
            <m:r>
              <m:rPr/>
              <m:t>2</m:t>
            </m:r>
          </m:sup>
        </m:sSup>
        <m:r>
          <m:rPr/>
          <m:t>Φ</m:t>
        </m:r>
        <m:r>
          <m:rPr>
            <m:sty m:val="p"/>
          </m:rPr>
          <m:t>=</m:t>
        </m:r>
        <m:r>
          <m:rPr/>
          <m:t>4πG</m:t>
        </m:r>
        <m:sSub>
          <m:sSubPr/>
          <m:e>
            <m:r>
              <m:rPr/>
              <m:t>ρ</m:t>
            </m:r>
          </m:e>
          <m:sub>
            <m:r>
              <m:rPr>
                <m:nor/>
                <m:sty m:val="p"/>
              </m:rPr>
              <w:rPr>
                <w:b w:val="0"/>
                <w:i w:val="0"/>
              </w:rPr>
              <m:t>eff</m:t>
            </m:r>
          </m:sub>
        </m:sSub>
      </m:oMath>
      <w:r>
        <w:t>在等效密度</w:t>
      </w:r>
      <m:oMath>
        <m:sSub>
          <m:sSubPr/>
          <m:e>
            <m:r>
              <m:rPr/>
              <m:t>ρ</m:t>
            </m:r>
          </m:e>
          <m:sub>
            <m:r>
              <m:rPr>
                <m:nor/>
                <m:sty m:val="p"/>
              </m:rPr>
              <w:rPr>
                <w:b w:val="0"/>
                <w:i w:val="0"/>
              </w:rPr>
              <m:t>eff</m:t>
            </m:r>
          </m:sub>
        </m:sSub>
        <m:r>
          <m:rPr>
            <m:sty m:val="p"/>
          </m:rPr>
          <m:t>∝</m:t>
        </m:r>
        <m:r>
          <m:rPr/>
          <m:t>1</m:t>
        </m:r>
        <m:r>
          <m:rPr>
            <m:sty m:val="p"/>
          </m:rPr>
          <m:t>/</m:t>
        </m:r>
        <m:sSup>
          <m:sSupPr/>
          <m:e>
            <m:r>
              <m:rPr/>
              <m:t>r</m:t>
            </m:r>
          </m:e>
          <m:sup>
            <m:r>
              <m:rPr/>
              <m:t>2</m:t>
            </m:r>
          </m:sup>
        </m:sSup>
      </m:oMath>
      <w:r>
        <w:t>的等温分布下积分得到）：</w:t>
      </w:r>
    </w:p>
    <w:p>
      <w:pPr>
        <w:pStyle w:val="32"/>
        <w:jc w:val="center"/>
      </w:pPr>
      <m:oMathPara>
        <m:oMathParaPr>
          <m:jc m:val="center"/>
        </m:oMathParaPr>
        <m:oMath>
          <m:sSub>
            <m:sSubPr/>
            <m:e>
              <m:r>
                <m:rPr/>
                <m:t>Φ</m:t>
              </m:r>
            </m:e>
            <m:sub>
              <m:r>
                <m:rPr>
                  <m:nor/>
                  <m:sty m:val="p"/>
                </m:rPr>
                <w:rPr>
                  <w:b w:val="0"/>
                  <w:i w:val="0"/>
                </w:rPr>
                <m:t>gal</m:t>
              </m:r>
            </m:sub>
          </m:sSub>
          <m:d>
            <m:dPr>
              <m:sepChr m:val=""/>
            </m:dPr>
            <m:e>
              <m:r>
                <m:rPr/>
                <m:t>r</m:t>
              </m:r>
            </m:e>
          </m:d>
          <m:r>
            <m:rPr>
              <m:sty m:val="p"/>
            </m:rPr>
            <m:t>≈</m:t>
          </m:r>
          <m:sSub>
            <m:sSubPr/>
            <m:e>
              <m:r>
                <m:rPr/>
                <m:t>Φ</m:t>
              </m:r>
            </m:e>
            <m:sub>
              <m:r>
                <m:rPr/>
                <m:t>c</m:t>
              </m:r>
            </m:sub>
          </m:sSub>
          <m:r>
            <m:rPr>
              <m:sty m:val="p"/>
            </m:rPr>
            <m:t>ln</m:t>
          </m:r>
          <m:d>
            <m:dPr>
              <m:sepChr m:val=""/>
            </m:dPr>
            <m:e>
              <m:f>
                <m:fPr/>
                <m:num>
                  <m:r>
                    <m:rPr/>
                    <m:t>r</m:t>
                  </m:r>
                </m:num>
                <m:den>
                  <m:sSub>
                    <m:sSubPr/>
                    <m:e>
                      <m:r>
                        <m:rPr/>
                        <m:t>r</m:t>
                      </m:r>
                    </m:e>
                    <m:sub>
                      <m:r>
                        <m:rPr/>
                        <m:t>c</m:t>
                      </m:r>
                    </m:sub>
                  </m:sSub>
                </m:den>
              </m:f>
            </m:e>
          </m:d>
        </m:oMath>
      </m:oMathPara>
    </w:p>
    <w:p>
      <w:pPr>
        <w:pStyle w:val="38"/>
        <w:jc w:val="both"/>
      </w:pPr>
      <w:r>
        <w:t>其中</w:t>
      </w:r>
      <m:oMath>
        <m:sSub>
          <m:sSubPr/>
          <m:e>
            <m:r>
              <m:rPr/>
              <m:t>Φ</m:t>
            </m:r>
          </m:e>
          <m:sub>
            <m:r>
              <m:rPr/>
              <m:t>c</m:t>
            </m:r>
          </m:sub>
        </m:sSub>
      </m:oMath>
      <w:r>
        <w:t>与</w:t>
      </w:r>
      <m:oMath>
        <m:sSub>
          <m:sSubPr/>
          <m:e>
            <m:r>
              <m:rPr/>
              <m:t>r</m:t>
            </m:r>
          </m:e>
          <m:sub>
            <m:r>
              <m:rPr/>
              <m:t>c</m:t>
            </m:r>
          </m:sub>
        </m:sSub>
      </m:oMath>
      <w:r>
        <w:t>为由残迹源数密度和单源强度决定的常数。对数势给出的旋转速度满足</w:t>
      </w:r>
      <m:oMath>
        <m:sSup>
          <m:sSupPr/>
          <m:e>
            <m:r>
              <m:rPr/>
              <m:t>v</m:t>
            </m:r>
          </m:e>
          <m:sup>
            <m:r>
              <m:rPr/>
              <m:t>2</m:t>
            </m:r>
          </m:sup>
        </m:sSup>
        <m:r>
          <m:rPr>
            <m:sty m:val="p"/>
          </m:rPr>
          <m:t>=</m:t>
        </m:r>
        <m:r>
          <m:rPr/>
          <m:t>r d</m:t>
        </m:r>
        <m:sSub>
          <m:sSubPr/>
          <m:e>
            <m:r>
              <m:rPr/>
              <m:t>Φ</m:t>
            </m:r>
          </m:e>
          <m:sub>
            <m:r>
              <m:rPr>
                <m:nor/>
                <m:sty m:val="p"/>
              </m:rPr>
              <w:rPr>
                <w:b w:val="0"/>
                <w:i w:val="0"/>
              </w:rPr>
              <m:t>gal</m:t>
            </m:r>
          </m:sub>
        </m:sSub>
        <m:r>
          <m:rPr>
            <m:sty m:val="p"/>
          </m:rPr>
          <m:t>/</m:t>
        </m:r>
        <m:r>
          <m:rPr/>
          <m:t>dr</m:t>
        </m:r>
        <m:r>
          <m:rPr>
            <m:sty m:val="p"/>
          </m:rPr>
          <m:t>≈</m:t>
        </m:r>
        <m:sSub>
          <m:sSubPr/>
          <m:e>
            <m:r>
              <m:rPr/>
              <m:t>Φ</m:t>
            </m:r>
          </m:e>
          <m:sub>
            <m:r>
              <m:rPr/>
              <m:t>c</m:t>
            </m:r>
          </m:sub>
        </m:sSub>
      </m:oMath>
      <w:r>
        <w:t>，在星系尺度内近似为常数，与平坦旋转曲线观测一致；式(7)的指数截断</w:t>
      </w:r>
      <m:oMath>
        <m:sSup>
          <m:sSupPr/>
          <m:e>
            <m:r>
              <m:rPr/>
              <m:t>e</m:t>
            </m:r>
          </m:e>
          <m:sup>
            <m:r>
              <m:rPr>
                <m:sty m:val="p"/>
              </m:rPr>
              <m:t>−</m:t>
            </m:r>
            <m:r>
              <m:rPr/>
              <m:t>r</m:t>
            </m:r>
            <m:r>
              <m:rPr>
                <m:sty m:val="p"/>
              </m:rPr>
              <m:t>/</m:t>
            </m:r>
            <m:sSub>
              <m:sSubPr/>
              <m:e>
                <m:r>
                  <m:rPr/>
                  <m:t>r</m:t>
                </m:r>
              </m:e>
              <m:sub>
                <m:r>
                  <m:rPr/>
                  <m:t>d</m:t>
                </m:r>
              </m:sub>
            </m:sSub>
          </m:sup>
        </m:sSup>
      </m:oMath>
      <w:r>
        <w:t>则描述星系外围残迹张力随距离衰减、旋转曲线最终下降的边界行为。此外，式(7)中</w:t>
      </w:r>
      <m:oMath>
        <m:sSup>
          <m:sSupPr/>
          <m:e>
            <m:r>
              <m:rPr/>
              <m:t>e</m:t>
            </m:r>
          </m:e>
          <m:sup>
            <m:r>
              <m:rPr>
                <m:sty m:val="p"/>
              </m:rPr>
              <m:t>−</m:t>
            </m:r>
            <m:r>
              <m:rPr/>
              <m:t>t</m:t>
            </m:r>
            <m:r>
              <m:rPr>
                <m:sty m:val="p"/>
              </m:rPr>
              <m:t>/</m:t>
            </m:r>
            <m:r>
              <m:rPr/>
              <m:t>τ</m:t>
            </m:r>
          </m:sup>
        </m:sSup>
      </m:oMath>
      <w:r>
        <w:t>项的</w:t>
      </w:r>
      <m:oMath>
        <m:r>
          <m:rPr/>
          <m:t>τ</m:t>
        </m:r>
      </m:oMath>
      <w:r>
        <w:t>应远大于宇宙年龄，以保证暗物质残迹在宇宙寿命内几乎不衰减，与高红移暗物质观测一致；不同年龄黑洞残迹之间的微弱时间演化差异，可作为进一步检验方向。</w:t>
      </w:r>
    </w:p>
    <w:p>
      <w:pPr>
        <w:pStyle w:val="38"/>
        <w:jc w:val="both"/>
      </w:pPr>
      <w:r>
        <w:t>关于维度阶梯的边界，本纲领设定三维空间为能量能够稳定停留并积累为物质的最低维度层。二维及更低维度仅以瞬时形变、残迹张力或通道截面的形式存在，不具备稳定承载物质积累的条件；能量向二维的持续跌落需要极高密度的物质流入维持通道（如黑洞），一旦物质供给中断，通道即消散。因此维度阶梯在三维处“封底”，不存在稳定的“二维物质”或“一维物质”形态。</w:t>
      </w:r>
    </w:p>
    <w:p>
      <w:pPr>
        <w:pStyle w:val="38"/>
        <w:jc w:val="both"/>
      </w:pPr>
      <w:r>
        <w:t>弱相互作用暂仅定性猜想为跨维界面亚稳态耦合解离过程，其对应的唯象势、衰变通道与宇称破缺特征，是后续首要的建模目标，本文暂不给出定量形式[28、29]。</w:t>
      </w:r>
    </w:p>
    <w:p>
      <w:pPr>
        <w:pStyle w:val="37"/>
      </w:pPr>
      <w:r>
        <w:t>量子现象的跨维投影诠释</w:t>
      </w:r>
    </w:p>
    <w:p>
      <w:pPr>
        <w:pStyle w:val="29"/>
      </w:pPr>
      <w:r>
        <w:t>表观随机性的来源：时域欠采样混叠</w:t>
      </w:r>
    </w:p>
    <w:p>
      <w:pPr>
        <w:pStyle w:val="38"/>
        <w:jc w:val="both"/>
      </w:pPr>
      <w:r>
        <w:t>量子客体的完整本体存在于高维空间，其状态演化是确定性、连续时序的过程，不存在内禀概率性。</w:t>
      </w:r>
    </w:p>
    <w:p>
      <w:pPr>
        <w:pStyle w:val="38"/>
        <w:jc w:val="both"/>
      </w:pPr>
      <w:r>
        <w:t>三维世界的全部观测手段，受三维因果与信号速度约束，存在固有的最小时间切片，即观测采样频率存在上限</w:t>
      </w:r>
      <m:oMath>
        <m:sSub>
          <m:sSubPr/>
          <m:e>
            <m:r>
              <m:rPr/>
              <m:t>f</m:t>
            </m:r>
          </m:e>
          <m:sub>
            <m:r>
              <m:rPr>
                <m:nor/>
                <m:sty m:val="p"/>
              </m:rPr>
              <w:rPr>
                <w:b w:val="0"/>
                <w:i w:val="0"/>
              </w:rPr>
              <m:t>obs</m:t>
            </m:r>
          </m:sub>
        </m:sSub>
      </m:oMath>
      <w:r>
        <w:t>。</w:t>
      </w:r>
    </w:p>
    <w:p>
      <w:pPr>
        <w:pStyle w:val="38"/>
        <w:jc w:val="both"/>
      </w:pPr>
      <w:r>
        <w:t>说明：此处的时域欠采样混叠为本框架内的本体类比模型，并非直接照搬经典信号处理的ADC采样；三维观测带宽上限来自光速因果约束，不是仪器硬件采样率限制。</w:t>
      </w:r>
    </w:p>
    <w:p>
      <w:pPr>
        <w:pStyle w:val="38"/>
        <w:jc w:val="both"/>
      </w:pPr>
      <w:r>
        <w:t>高维本体的演化本征频率</w:t>
      </w:r>
      <m:oMath>
        <m:sSub>
          <m:sSubPr/>
          <m:e>
            <m:r>
              <m:rPr/>
              <m:t>f</m:t>
            </m:r>
          </m:e>
          <m:sub>
            <m:r>
              <m:rPr/>
              <m:t>d</m:t>
            </m:r>
          </m:sub>
        </m:sSub>
      </m:oMath>
      <w:r>
        <w:t>远高于三维观测采样频率，满足奈奎斯特欠采样条件：</w:t>
      </w:r>
    </w:p>
    <w:p>
      <w:pPr>
        <w:pStyle w:val="32"/>
        <w:jc w:val="center"/>
      </w:pPr>
      <m:oMathPara>
        <m:oMathParaPr>
          <m:jc m:val="center"/>
        </m:oMathParaPr>
        <m:oMath>
          <m:sSub>
            <m:sSubPr/>
            <m:e>
              <m:r>
                <m:rPr/>
                <m:t>f</m:t>
              </m:r>
            </m:e>
            <m:sub>
              <m:r>
                <m:rPr>
                  <m:nor/>
                  <m:sty m:val="p"/>
                </m:rPr>
                <w:rPr>
                  <w:b w:val="0"/>
                  <w:i w:val="0"/>
                </w:rPr>
                <m:t>obs</m:t>
              </m:r>
            </m:sub>
          </m:sSub>
          <m:r>
            <m:rPr>
              <m:sty m:val="p"/>
            </m:rPr>
            <m:t>&lt;</m:t>
          </m:r>
          <m:r>
            <m:rPr/>
            <m:t>2</m:t>
          </m:r>
          <m:sSub>
            <m:sSubPr/>
            <m:e>
              <m:r>
                <m:rPr/>
                <m:t>f</m:t>
              </m:r>
            </m:e>
            <m:sub>
              <m:r>
                <m:rPr/>
                <m:t>d</m:t>
              </m:r>
            </m:sub>
          </m:sSub>
        </m:oMath>
      </m:oMathPara>
    </w:p>
    <w:p>
      <w:pPr>
        <w:pStyle w:val="38"/>
        <w:jc w:val="both"/>
      </w:pPr>
      <w:r>
        <w:t>此时观测将发生时域混叠，采样相位与高维演化相位错位，观测结果呈现伪随机特征。量子不确定性原理，本质是观测带宽不足导致的采样混叠效应，而非客体本身状态不确定[30]；这一图像与量子力学正统诠释中的互补性原理形成对照[31]。</w:t>
      </w:r>
    </w:p>
    <w:p>
      <w:pPr>
        <w:pStyle w:val="38"/>
        <w:jc w:val="both"/>
      </w:pPr>
      <w:r>
        <w:t>设高维本体演化角频率为</w:t>
      </w:r>
      <m:oMath>
        <m:sSub>
          <m:sSubPr/>
          <m:e>
            <m:r>
              <m:rPr/>
              <m:t>ω</m:t>
            </m:r>
          </m:e>
          <m:sub>
            <m:r>
              <m:rPr/>
              <m:t>d</m:t>
            </m:r>
          </m:sub>
        </m:sSub>
      </m:oMath>
      <w:r>
        <w:t>，观测采样角频率为</w:t>
      </w:r>
      <m:oMath>
        <m:sSub>
          <m:sSubPr/>
          <m:e>
            <m:r>
              <m:rPr/>
              <m:t>ω</m:t>
            </m:r>
          </m:e>
          <m:sub>
            <m:r>
              <m:rPr/>
              <m:t>s</m:t>
            </m:r>
          </m:sub>
        </m:sSub>
      </m:oMath>
      <w:r>
        <w:t>，则采样后的表观混叠频率为：</w:t>
      </w:r>
    </w:p>
    <w:p>
      <w:pPr>
        <w:pStyle w:val="32"/>
        <w:jc w:val="center"/>
      </w:pPr>
      <m:oMathPara>
        <m:oMathParaPr>
          <m:jc m:val="center"/>
        </m:oMathParaPr>
        <m:oMath>
          <m:sSub>
            <m:sSubPr/>
            <m:e>
              <m:r>
                <m:rPr/>
                <m:t>ω</m:t>
              </m:r>
            </m:e>
            <m:sub>
              <m:r>
                <m:rPr>
                  <m:nor/>
                  <m:sty m:val="p"/>
                </m:rPr>
                <w:rPr>
                  <w:b w:val="0"/>
                  <w:i w:val="0"/>
                </w:rPr>
                <m:t>app</m:t>
              </m:r>
            </m:sub>
          </m:sSub>
          <m:r>
            <m:rPr>
              <m:sty m:val="p"/>
            </m:rPr>
            <m:t>=</m:t>
          </m:r>
          <m:d>
            <m:dPr>
              <m:begChr m:val="|"/>
              <m:sepChr m:val=""/>
              <m:endChr m:val="|"/>
            </m:dPr>
            <m:e>
              <m:sSub>
                <m:sSubPr/>
                <m:e>
                  <m:r>
                    <m:rPr/>
                    <m:t>ω</m:t>
                  </m:r>
                </m:e>
                <m:sub>
                  <m:r>
                    <m:rPr/>
                    <m:t>d</m:t>
                  </m:r>
                </m:sub>
              </m:sSub>
              <m:r>
                <m:rPr>
                  <m:sty m:val="p"/>
                </m:rPr>
                <m:t>−</m:t>
              </m:r>
              <m:r>
                <m:rPr/>
                <m:t>k</m:t>
              </m:r>
              <m:sSub>
                <m:sSubPr/>
                <m:e>
                  <m:r>
                    <m:rPr/>
                    <m:t>ω</m:t>
                  </m:r>
                </m:e>
                <m:sub>
                  <m:r>
                    <m:rPr/>
                    <m:t>s</m:t>
                  </m:r>
                </m:sub>
              </m:sSub>
            </m:e>
          </m:d>
        </m:oMath>
      </m:oMathPara>
    </w:p>
    <w:p>
      <w:pPr>
        <w:pStyle w:val="38"/>
        <w:jc w:val="both"/>
      </w:pPr>
      <w:r>
        <w:t>其中</w:t>
      </w:r>
      <m:oMath>
        <m:r>
          <m:rPr/>
          <m:t>k</m:t>
        </m:r>
      </m:oMath>
      <w:r>
        <w:t>为满足混叠条件的整数。观测结果的表观概率分布，由高维确定性轨迹在离散采样点的相位统计平均决定：</w:t>
      </w:r>
    </w:p>
    <w:p>
      <w:pPr>
        <w:pStyle w:val="32"/>
        <w:jc w:val="center"/>
      </w:pPr>
      <m:oMathPara>
        <m:oMathParaPr>
          <m:jc m:val="center"/>
        </m:oMathParaPr>
        <m:oMath>
          <m:r>
            <m:rPr/>
            <m:t>P</m:t>
          </m:r>
          <m:d>
            <m:dPr>
              <m:sepChr m:val=""/>
            </m:dPr>
            <m:e>
              <m:r>
                <m:rPr/>
                <m:t>x</m:t>
              </m:r>
            </m:e>
          </m:d>
          <m:r>
            <m:rPr>
              <m:sty m:val="p"/>
            </m:rPr>
            <m:t>=</m:t>
          </m:r>
          <m:f>
            <m:fPr/>
            <m:num>
              <m:r>
                <m:rPr/>
                <m:t>1</m:t>
              </m:r>
            </m:num>
            <m:den>
              <m:sSub>
                <m:sSubPr/>
                <m:e>
                  <m:r>
                    <m:rPr/>
                    <m:t>T</m:t>
                  </m:r>
                </m:e>
                <m:sub>
                  <m:r>
                    <m:rPr/>
                    <m:t>s</m:t>
                  </m:r>
                </m:sub>
              </m:sSub>
            </m:den>
          </m:f>
          <m:nary>
            <m:naryPr>
              <m:limLoc m:val="subSup"/>
            </m:naryPr>
            <m:sub>
              <m:r>
                <m:rPr/>
                <m:t>0</m:t>
              </m:r>
            </m:sub>
            <m:sup>
              <m:sSub>
                <m:sSubPr/>
                <m:e>
                  <m:r>
                    <m:rPr/>
                    <m:t>T</m:t>
                  </m:r>
                </m:e>
                <m:sub>
                  <m:r>
                    <m:rPr/>
                    <m:t>s</m:t>
                  </m:r>
                </m:sub>
              </m:sSub>
            </m:sup>
            <m:e>
              <m:r>
                <m:rPr/>
                <m:t>δ</m:t>
              </m:r>
            </m:e>
          </m:nary>
          <m:d>
            <m:dPr>
              <m:sepChr m:val=""/>
            </m:dPr>
            <m:e>
              <m:r>
                <m:rPr/>
                <m:t>x</m:t>
              </m:r>
              <m:r>
                <m:rPr>
                  <m:sty m:val="p"/>
                </m:rPr>
                <m:t>−</m:t>
              </m:r>
              <m:sSub>
                <m:sSubPr/>
                <m:e>
                  <m:r>
                    <m:rPr/>
                    <m:t>x</m:t>
                  </m:r>
                </m:e>
                <m:sub>
                  <m:r>
                    <m:rPr/>
                    <m:t>d</m:t>
                  </m:r>
                </m:sub>
              </m:sSub>
              <m:d>
                <m:dPr>
                  <m:sepChr m:val=""/>
                </m:dPr>
                <m:e>
                  <m:r>
                    <m:rPr/>
                    <m:t>t</m:t>
                  </m:r>
                </m:e>
              </m:d>
            </m:e>
          </m:d>
          <m:r>
            <m:rPr/>
            <m:t>dt</m:t>
          </m:r>
        </m:oMath>
      </m:oMathPara>
    </w:p>
    <w:p>
      <w:pPr>
        <w:pStyle w:val="38"/>
        <w:jc w:val="both"/>
      </w:pPr>
      <w:r>
        <w:t>其中</w:t>
      </w:r>
      <m:oMath>
        <m:sSub>
          <m:sSubPr/>
          <m:e>
            <m:r>
              <m:rPr/>
              <m:t>T</m:t>
            </m:r>
          </m:e>
          <m:sub>
            <m:r>
              <m:rPr/>
              <m:t>s</m:t>
            </m:r>
          </m:sub>
        </m:sSub>
      </m:oMath>
      <w:r>
        <w:t>为采样周期，</w:t>
      </w:r>
      <m:oMath>
        <m:sSub>
          <m:sSubPr/>
          <m:e>
            <m:r>
              <m:rPr/>
              <m:t>x</m:t>
            </m:r>
          </m:e>
          <m:sub>
            <m:r>
              <m:rPr/>
              <m:t>d</m:t>
            </m:r>
          </m:sub>
        </m:sSub>
        <m:d>
          <m:dPr>
            <m:sepChr m:val=""/>
          </m:dPr>
          <m:e>
            <m:r>
              <m:rPr/>
              <m:t>t</m:t>
            </m:r>
          </m:e>
        </m:d>
      </m:oMath>
      <w:r>
        <w:t>为高维本体的确定性演化轨迹。</w:t>
      </w:r>
    </w:p>
    <w:p>
      <w:pPr>
        <w:pStyle w:val="38"/>
        <w:jc w:val="both"/>
      </w:pPr>
      <w:r>
        <w:t>式(10)给出单投影通道下的表观概率分布。对于双缝干涉等存在多个空间分离投影通道的实验，观测概率需计入各通道高维轨迹的相位因子及其交叉项：</w:t>
      </w:r>
    </w:p>
    <w:p>
      <w:pPr>
        <w:pStyle w:val="32"/>
        <w:jc w:val="center"/>
      </w:pPr>
      <m:oMathPara>
        <m:oMathParaPr>
          <m:jc m:val="center"/>
        </m:oMathParaPr>
        <m:oMath>
          <m:sSub>
            <m:sSubPr/>
            <m:e>
              <m:r>
                <m:rPr/>
                <m:t>P</m:t>
              </m:r>
            </m:e>
            <m:sub>
              <m:r>
                <m:rPr>
                  <m:nor/>
                  <m:sty m:val="p"/>
                </m:rPr>
                <w:rPr>
                  <w:b w:val="0"/>
                  <w:i w:val="0"/>
                </w:rPr>
                <m:t>multi</m:t>
              </m:r>
            </m:sub>
          </m:sSub>
          <m:d>
            <m:dPr>
              <m:sepChr m:val=""/>
            </m:dPr>
            <m:e>
              <m:r>
                <m:rPr/>
                <m:t>x</m:t>
              </m:r>
            </m:e>
          </m:d>
          <m:r>
            <m:rPr>
              <m:sty m:val="p"/>
            </m:rPr>
            <m:t>∝</m:t>
          </m:r>
          <m:sSup>
            <m:sSupPr/>
            <m:e>
              <m:d>
                <m:dPr>
                  <m:begChr m:val="|"/>
                  <m:sepChr m:val=""/>
                  <m:endChr m:val="|"/>
                </m:dPr>
                <m:e>
                  <m:nary>
                    <m:naryPr>
                      <m:chr m:val="∑"/>
                      <m:limLoc m:val="undOvr"/>
                      <m:supHide m:val="1"/>
                    </m:naryPr>
                    <m:sub>
                      <m:r>
                        <m:rPr/>
                        <m:t>j</m:t>
                      </m:r>
                    </m:sub>
                    <m:sup>
                      <m:r>
                        <m:rPr/>
                        <m:t>​</m:t>
                      </m:r>
                    </m:sup>
                    <m:e>
                      <m:sSub>
                        <m:sSubPr/>
                        <m:e>
                          <m:r>
                            <m:rPr/>
                            <m:t>A</m:t>
                          </m:r>
                        </m:e>
                        <m:sub>
                          <m:r>
                            <m:rPr/>
                            <m:t>j</m:t>
                          </m:r>
                        </m:sub>
                      </m:sSub>
                    </m:e>
                  </m:nary>
                  <m:sSup>
                    <m:sSupPr/>
                    <m:e>
                      <m:r>
                        <m:rPr/>
                        <m:t>e</m:t>
                      </m:r>
                    </m:e>
                    <m:sup>
                      <m:r>
                        <m:rPr/>
                        <m:t>i</m:t>
                      </m:r>
                      <m:sSub>
                        <m:sSubPr/>
                        <m:e>
                          <m:r>
                            <m:rPr/>
                            <m:t>ϕ</m:t>
                          </m:r>
                        </m:e>
                        <m:sub>
                          <m:r>
                            <m:rPr/>
                            <m:t>j</m:t>
                          </m:r>
                        </m:sub>
                      </m:sSub>
                      <m:d>
                        <m:dPr>
                          <m:sepChr m:val=""/>
                        </m:dPr>
                        <m:e>
                          <m:r>
                            <m:rPr/>
                            <m:t>x</m:t>
                          </m:r>
                        </m:e>
                      </m:d>
                    </m:sup>
                  </m:sSup>
                </m:e>
              </m:d>
            </m:e>
            <m:sup>
              <m:r>
                <m:rPr/>
                <m:t>2</m:t>
              </m:r>
            </m:sup>
          </m:sSup>
        </m:oMath>
      </m:oMathPara>
    </w:p>
    <w:p>
      <w:pPr>
        <w:pStyle w:val="38"/>
        <w:jc w:val="both"/>
      </w:pPr>
      <w:r>
        <w:t>其中</w:t>
      </w:r>
      <m:oMath>
        <m:sSub>
          <m:sSubPr/>
          <m:e>
            <m:r>
              <m:rPr/>
              <m:t>A</m:t>
            </m:r>
          </m:e>
          <m:sub>
            <m:r>
              <m:rPr/>
              <m:t>j</m:t>
            </m:r>
          </m:sub>
        </m:sSub>
      </m:oMath>
      <w:r>
        <w:t>为第</w:t>
      </w:r>
      <m:oMath>
        <m:r>
          <m:rPr/>
          <m:t>j</m:t>
        </m:r>
      </m:oMath>
      <w:r>
        <w:t>个投影通道的振幅，</w:t>
      </w:r>
      <m:oMath>
        <m:sSub>
          <m:sSubPr/>
          <m:e>
            <m:r>
              <m:rPr/>
              <m:t>ϕ</m:t>
            </m:r>
          </m:e>
          <m:sub>
            <m:r>
              <m:rPr/>
              <m:t>j</m:t>
            </m:r>
          </m:sub>
        </m:sSub>
        <m:d>
          <m:dPr>
            <m:sepChr m:val=""/>
          </m:dPr>
          <m:e>
            <m:r>
              <m:rPr/>
              <m:t>x</m:t>
            </m:r>
          </m:e>
        </m:d>
      </m:oMath>
      <w:r>
        <w:t>为该通道高维轨迹在采样点</w:t>
      </w:r>
      <m:oMath>
        <m:r>
          <m:rPr/>
          <m:t>x</m:t>
        </m:r>
      </m:oMath>
      <w:r>
        <w:t>处的累积相位。交叉项</w:t>
      </w:r>
      <m:oMath>
        <m:r>
          <m:rPr/>
          <m:t>2</m:t>
        </m:r>
        <m:sSub>
          <m:sSubPr/>
          <m:e>
            <m:r>
              <m:rPr/>
              <m:t>A</m:t>
            </m:r>
          </m:e>
          <m:sub>
            <m:r>
              <m:rPr/>
              <m:t>1</m:t>
            </m:r>
          </m:sub>
        </m:sSub>
        <m:sSub>
          <m:sSubPr/>
          <m:e>
            <m:r>
              <m:rPr/>
              <m:t>A</m:t>
            </m:r>
          </m:e>
          <m:sub>
            <m:r>
              <m:rPr/>
              <m:t>2</m:t>
            </m:r>
          </m:sub>
        </m:sSub>
        <m:r>
          <m:rPr>
            <m:sty m:val="p"/>
          </m:rPr>
          <m:t>cos</m:t>
        </m:r>
        <m:d>
          <m:dPr>
            <m:sepChr m:val=""/>
          </m:dPr>
          <m:e>
            <m:sSub>
              <m:sSubPr/>
              <m:e>
                <m:r>
                  <m:rPr/>
                  <m:t>ϕ</m:t>
                </m:r>
              </m:e>
              <m:sub>
                <m:r>
                  <m:rPr/>
                  <m:t>1</m:t>
                </m:r>
              </m:sub>
            </m:sSub>
            <m:r>
              <m:rPr>
                <m:sty m:val="p"/>
              </m:rPr>
              <m:t>−</m:t>
            </m:r>
            <m:sSub>
              <m:sSubPr/>
              <m:e>
                <m:r>
                  <m:rPr/>
                  <m:t>ϕ</m:t>
                </m:r>
              </m:e>
              <m:sub>
                <m:r>
                  <m:rPr/>
                  <m:t>2</m:t>
                </m:r>
              </m:sub>
            </m:sSub>
          </m:e>
        </m:d>
      </m:oMath>
      <w:r>
        <w:t>对应干涉条纹。单通道情形下式(10b)退化为式(10)的经典时间平均；多通道情形下，高维轨迹的相位关联通过采样过程投射为三维空间中的干涉图样。这说明量子干涉并非来自客体内禀波动性，而是高维轨迹多投影通道之间相位关联在有限带宽采样下的表观显现[32、33]。</w:t>
      </w:r>
    </w:p>
    <w:p>
      <w:pPr>
        <w:pStyle w:val="38"/>
        <w:jc w:val="both"/>
      </w:pPr>
      <w:r>
        <w:t>需要诚实说明，式(10b)的相位叠加形式本身借用了量子力学概率幅叠加规则；本框架当前尚未从高维确定性轨迹的采样过程严格导出</w:t>
      </w:r>
      <m:oMath>
        <m:sSub>
          <m:sSubPr/>
          <m:e>
            <m:r>
              <m:rPr/>
              <m:t>A</m:t>
            </m:r>
          </m:e>
          <m:sub>
            <m:r>
              <m:rPr/>
              <m:t>j</m:t>
            </m:r>
          </m:sub>
        </m:sSub>
        <m:sSup>
          <m:sSupPr/>
          <m:e>
            <m:r>
              <m:rPr/>
              <m:t>e</m:t>
            </m:r>
          </m:e>
          <m:sup>
            <m:r>
              <m:rPr/>
              <m:t>i</m:t>
            </m:r>
            <m:sSub>
              <m:sSubPr/>
              <m:e>
                <m:r>
                  <m:rPr/>
                  <m:t>ϕ</m:t>
                </m:r>
              </m:e>
              <m:sub>
                <m:r>
                  <m:rPr/>
                  <m:t>j</m:t>
                </m:r>
              </m:sub>
            </m:sSub>
            <m:d>
              <m:dPr>
                <m:sepChr m:val=""/>
              </m:dPr>
              <m:e>
                <m:r>
                  <m:rPr/>
                  <m:t>x</m:t>
                </m:r>
              </m:e>
            </m:d>
          </m:sup>
        </m:sSup>
      </m:oMath>
      <w:r>
        <w:t>的结构，这是量子部分最核心的未闭合环节。式(10b)在此作为“若多投影通道的相位关联存在，则干涉图样应取此形式”的现象学占位，其第一性推导留待后续工作。</w:t>
      </w:r>
    </w:p>
    <w:p>
      <w:pPr>
        <w:pStyle w:val="29"/>
      </w:pPr>
      <w:r>
        <w:t>量子纠缠机制：单一高维客体的多投影关联</w:t>
      </w:r>
    </w:p>
    <w:p>
      <w:pPr>
        <w:pStyle w:val="38"/>
        <w:jc w:val="both"/>
      </w:pPr>
      <w:r>
        <w:t>本纲领的核心设定：不存在两个相互独立的纠缠粒子。量子纠缠观测现象，对应同一个高维客体在三维时空投射出多个空间分离的影像。三维视角下相距遥远的两个投影，共享同一套高维本体演化时序，状态天然关联；无需在三维空间内传递超光速信号，因此不破坏三维光速因果约束。</w:t>
      </w:r>
    </w:p>
    <w:p>
      <w:pPr>
        <w:pStyle w:val="38"/>
        <w:jc w:val="both"/>
      </w:pPr>
      <w:r>
        <w:t>该机制天然规避贝尔不等式的局域隐变量限制——贝尔不等式的推导前提为“两个子系统是局域独立实体”，而本框架中两个投影并非独立实体，因此不适用该前提约束，与贝尔实验违反不等式的观测结果不存在冲突[6、34]。</w:t>
      </w:r>
    </w:p>
    <w:p>
      <w:pPr>
        <w:pStyle w:val="38"/>
        <w:jc w:val="both"/>
      </w:pPr>
      <w:r>
        <w:t>需要说明的是，贝尔定理的严格表述在允许超确定论的前提下仍要求测量选择独立于隐变量（free choice条件）。本框架中，测量基底由三维观测者选定，独立于高维本体的演化时序，满足该条件；两个投影之间不存在三维空间中的信号传递，不违背三维定域性，而是将关联起源置于高维本体的统一演化之中[35、36]。</w:t>
      </w:r>
    </w:p>
    <w:p>
      <w:pPr>
        <w:pStyle w:val="38"/>
        <w:jc w:val="both"/>
      </w:pPr>
      <w:r>
        <w:t>需要指出，若观测者本身也是高维本体的投影，其“测量选择”是否严格独立于高维演化，是一个需要在框架内认真论证的问题；本文当前采取的操作性立场是：三维观测者选定测量基底的行为，在三维层面表现为独立于被观测客体的高维演化时序，free choice条件在此操作性意义上成立。更严格的本体论论证留待后续工作。</w:t>
      </w:r>
    </w:p>
    <w:p>
      <w:pPr>
        <w:pStyle w:val="29"/>
      </w:pPr>
      <w:r>
        <w:t>检验方案</w:t>
      </w:r>
    </w:p>
    <w:p>
      <w:pPr>
        <w:pStyle w:val="38"/>
        <w:jc w:val="both"/>
      </w:pPr>
      <w:r>
        <w:t>精确记录纠缠实验中每次观测的时间戳、测量基底与测量结果，对时序数据集开展频谱搜索，寻找可复现、可预测后续观测结果的高维演化本征频率。若存在稳定的本征频率，则为该模型提供直接支撑。</w:t>
      </w:r>
    </w:p>
    <w:p>
      <w:pPr>
        <w:pStyle w:val="37"/>
      </w:pPr>
      <w:r>
        <w:t>可观测预言与判别检验方向</w:t>
      </w:r>
    </w:p>
    <w:p>
      <w:pPr>
        <w:pStyle w:val="38"/>
        <w:jc w:val="both"/>
      </w:pPr>
      <w:r>
        <w:t>本纲领若仅能解释已知现象，则仅能作为物理诠释；必须提出区别于标准模型的独有预言，方可成为可检验的物理理论。本文提出3项可观测的判别方向：</w:t>
      </w:r>
    </w:p>
    <w:p>
      <w:pPr>
        <w:pStyle w:val="29"/>
      </w:pPr>
      <w:r>
        <w:t>预言1 高时间分辨率量子测量的周期性调制</w:t>
      </w:r>
    </w:p>
    <w:p>
      <w:pPr>
        <w:pStyle w:val="38"/>
        <w:jc w:val="both"/>
      </w:pPr>
      <w:r>
        <w:t>由于量子随机性来源于观测欠采样混叠，当观测的时间分辨率持续提升、逼近三维最小时间切片极限时，量子统计分布将出现可识别的周期性调制特征。 标准量子力学中概率规则与观测时间分辨率无关，不存在该效应。若观测到该调制，将为本框架提供直接实验证据。</w:t>
      </w:r>
    </w:p>
    <w:p>
      <w:pPr>
        <w:pStyle w:val="29"/>
      </w:pPr>
      <w:r>
        <w:t>预言2 暗物质分布与古黑洞遗迹的空间相关性</w:t>
      </w:r>
    </w:p>
    <w:p>
      <w:pPr>
        <w:pStyle w:val="38"/>
        <w:jc w:val="both"/>
      </w:pPr>
      <w:r>
        <w:t>暗物质效应来源于古黑洞遗留的跨维张力，因此暗物质密度峰值应与历史上黑洞形成的密集区域正相关；宇宙大尺度空洞区域，暗物质丰度应显著低于</w:t>
      </w:r>
      <m:oMath>
        <m:r>
          <m:rPr/>
          <m:t>Λ</m:t>
        </m:r>
      </m:oMath>
      <w:r>
        <w:t>CDM模型的均匀分布预期。 该预言可通过下一代弱引力透镜巡天与星系巡天数据进行检验[37、38]。</w:t>
      </w:r>
    </w:p>
    <w:p>
      <w:pPr>
        <w:pStyle w:val="29"/>
      </w:pPr>
      <w:r>
        <w:t>预言3 早期宇宙元素丰度的拟合差异</w:t>
      </w:r>
    </w:p>
    <w:p>
      <w:pPr>
        <w:pStyle w:val="38"/>
        <w:jc w:val="both"/>
      </w:pPr>
      <w:r>
        <w:t>基于拥挤阻滞生质模型，对原初核合成的元素丰度进行定量拟合，其结果与标准</w:t>
      </w:r>
      <m:oMath>
        <m:r>
          <m:rPr/>
          <m:t>Λ</m:t>
        </m:r>
      </m:oMath>
      <w:r>
        <w:t>CDM模型将存在可区分的系统偏差。该预言可通过高精度原初元素丰度观测进行判别[39、40]。</w:t>
      </w:r>
    </w:p>
    <w:p>
      <w:pPr>
        <w:pStyle w:val="37"/>
      </w:pPr>
      <w:r>
        <w:t>讨论与展望</w:t>
      </w:r>
    </w:p>
    <w:p>
      <w:pPr>
        <w:pStyle w:val="29"/>
      </w:pPr>
      <w:r>
        <w:t>框架优势</w:t>
      </w:r>
    </w:p>
    <w:p>
      <w:pPr>
        <w:pStyle w:val="38"/>
        <w:jc w:val="both"/>
      </w:pPr>
      <w:r>
        <w:t xml:space="preserve">1. </w:t>
      </w:r>
      <w:r>
        <w:rPr>
          <w:b/>
          <w:bCs/>
        </w:rPr>
        <w:t>公理极简，叙事统一</w:t>
      </w:r>
      <w:r>
        <w:t>：仅以4条基础公理，贯通宇宙起源、质能转换、基本相互作用、量子效应、暗物质效应，无需追加大量独立特设假设。</w:t>
      </w:r>
    </w:p>
    <w:p>
      <w:pPr>
        <w:pStyle w:val="38"/>
        <w:jc w:val="both"/>
      </w:pPr>
      <w:r>
        <w:t xml:space="preserve">2. </w:t>
      </w:r>
      <w:r>
        <w:rPr>
          <w:b/>
          <w:bCs/>
        </w:rPr>
        <w:t>消解经典悖论</w:t>
      </w:r>
      <w:r>
        <w:t>：从底层动力学层面解释质能转换过程，以投影机制化解纠缠非局域性与光速因果的矛盾，而非通过划定适用范围搁置问题。</w:t>
      </w:r>
    </w:p>
    <w:p>
      <w:pPr>
        <w:pStyle w:val="38"/>
        <w:jc w:val="both"/>
      </w:pPr>
      <w:r>
        <w:t xml:space="preserve">3. </w:t>
      </w:r>
      <w:r>
        <w:rPr>
          <w:b/>
          <w:bCs/>
        </w:rPr>
        <w:t>兼容现有物理</w:t>
      </w:r>
      <w:r>
        <w:t>：不否定相对论、量子力学、</w:t>
      </w:r>
      <m:oMath>
        <m:r>
          <m:rPr/>
          <m:t>Λ</m:t>
        </m:r>
      </m:oMath>
      <w:r>
        <w:t>CDM在其适用域内的计算精度，将其视为本框架在特定条件下的有效近似。</w:t>
      </w:r>
    </w:p>
    <w:p>
      <w:pPr>
        <w:pStyle w:val="29"/>
      </w:pPr>
      <w:r>
        <w:t>局限与后续工作</w:t>
      </w:r>
    </w:p>
    <w:p>
      <w:pPr>
        <w:pStyle w:val="38"/>
        <w:jc w:val="both"/>
      </w:pPr>
      <w:r>
        <w:t>本研究目前处于本体论纲领阶段，尚未建立完整的定量动力学方程组，距离成熟物理理论仍有大量工作待完成：</w:t>
      </w:r>
    </w:p>
    <w:p>
      <w:pPr>
        <w:pStyle w:val="38"/>
        <w:jc w:val="both"/>
      </w:pPr>
      <w:r>
        <w:t>1. 构建统一的跨维几何-时序微分方程组，实现四种相互作用的统一数学描述；</w:t>
      </w:r>
    </w:p>
    <w:p>
      <w:pPr>
        <w:pStyle w:val="38"/>
        <w:jc w:val="both"/>
      </w:pPr>
      <w:r>
        <w:t>2. 严格区分跌落本征速度与三维宏观运动速度，建立变换规则，使之与洛伦兹变换的实验结论兼容；</w:t>
      </w:r>
    </w:p>
    <w:p>
      <w:pPr>
        <w:pStyle w:val="38"/>
        <w:jc w:val="both"/>
      </w:pPr>
      <w:r>
        <w:t>3. 完善早期宇宙暴涨与元素丰度的定量模型，与CMB观测数据开展拟合比对；</w:t>
      </w:r>
    </w:p>
    <w:p>
      <w:pPr>
        <w:pStyle w:val="38"/>
        <w:jc w:val="both"/>
      </w:pPr>
      <w:r>
        <w:t>4. 设计高时间分辨率量子实验，检验周期性调制预言。</w:t>
      </w:r>
    </w:p>
    <w:p>
      <w:pPr>
        <w:pStyle w:val="38"/>
        <w:jc w:val="both"/>
      </w:pPr>
      <w:r>
        <w:t>本纲领当前版本为开放讨论稿（v0.1 revised），部分方程为现象学占位形式，其参数取值与极限行为将在后续版本中逐步修正。后续修订与讨论材料将通过开源仓库同步发布：https://github.com/nell332/transdimensional-cosmology-program.git，版本记录托管于Zenodo：https://doi.org/10.5281/zenodo.23765255。</w:t>
      </w:r>
    </w:p>
    <w:p>
      <w:pPr>
        <w:pStyle w:val="29"/>
      </w:pPr>
      <w:r>
        <w:t>框架层面的已知缺口</w:t>
      </w:r>
    </w:p>
    <w:p>
      <w:pPr>
        <w:pStyle w:val="38"/>
        <w:jc w:val="both"/>
      </w:pPr>
      <w:r>
        <w:t>除上述待完善的具体工作外，本框架在结构层面还存在两处需要长期面对的缺口，在此明示以免误读：</w:t>
      </w:r>
    </w:p>
    <w:p>
      <w:pPr>
        <w:pStyle w:val="38"/>
        <w:jc w:val="both"/>
      </w:pPr>
      <w:r>
        <w:t xml:space="preserve">1. </w:t>
      </w:r>
      <w:r>
        <w:rPr>
          <w:b/>
          <w:bCs/>
        </w:rPr>
        <w:t>规范结构的承载对象</w:t>
      </w:r>
      <w:r>
        <w:t>：本框架目前以标量型“界面形变”与“跨维张力”描述相互作用，尚未引入可承载非阿贝尔规范群（</w:t>
      </w:r>
      <m:oMath>
        <m:r>
          <m:rPr/>
          <m:t>SU</m:t>
        </m:r>
        <m:d>
          <m:dPr>
            <m:sepChr m:val=""/>
          </m:dPr>
          <m:e>
            <m:r>
              <m:rPr/>
              <m:t>3</m:t>
            </m:r>
          </m:e>
        </m:d>
        <m:r>
          <m:rPr>
            <m:sty m:val="p"/>
          </m:rPr>
          <m:t>×</m:t>
        </m:r>
        <m:r>
          <m:rPr/>
          <m:t>SU</m:t>
        </m:r>
        <m:d>
          <m:dPr>
            <m:sepChr m:val=""/>
          </m:dPr>
          <m:e>
            <m:r>
              <m:rPr/>
              <m:t>2</m:t>
            </m:r>
          </m:e>
        </m:d>
        <m:r>
          <m:rPr>
            <m:sty m:val="p"/>
          </m:rPr>
          <m:t>×</m:t>
        </m:r>
        <m:r>
          <m:rPr/>
          <m:t>U</m:t>
        </m:r>
        <m:d>
          <m:dPr>
            <m:sepChr m:val=""/>
          </m:dPr>
          <m:e>
            <m:r>
              <m:rPr/>
              <m:t>1</m:t>
            </m:r>
          </m:e>
        </m:d>
      </m:oMath>
      <w:r>
        <w:t>）纤维丛结构的数学对象；四种力的强度排序在通道图像下有定性叙事，但规范耦合常数的跑动与汇合尚无对应描述。</w:t>
      </w:r>
    </w:p>
    <w:p>
      <w:pPr>
        <w:pStyle w:val="38"/>
        <w:jc w:val="both"/>
      </w:pPr>
      <w:r>
        <w:t xml:space="preserve">2. </w:t>
      </w:r>
      <w:r>
        <w:rPr>
          <w:b/>
          <w:bCs/>
        </w:rPr>
        <w:t>采样机制与希尔伯特空间线性结构之间的鸿沟</w:t>
      </w:r>
      <w:r>
        <w:t>：式(10b)借用了概率幅叠加规则，但尚未从高维确定性轨迹的采样过程导出希尔伯特空间的线性结构与算符非对易关系；这是“量子随机性来自采样混叠”这一图像能否成立的关键，也是当前框架最需要后续投入的方向。</w:t>
      </w:r>
    </w:p>
    <w:p>
      <w:pPr>
        <w:pStyle w:val="29"/>
      </w:pPr>
      <w:r>
        <w:t>科学哲学边界</w:t>
      </w:r>
    </w:p>
    <w:p>
      <w:pPr>
        <w:pStyle w:val="38"/>
        <w:jc w:val="both"/>
      </w:pPr>
      <w:r>
        <w:t>即使未来完成定量建模并通过部分观测检验，也无法仅凭实验数据“证明”高维跌落图景为宇宙客观真相。科学哲学中存在理论等价性问题：多套底层完全不同的模型，可输出完全一致的观测预言；实验的核心作用是证伪，而非单独证实某一本体图景。 本纲领的核心价值，在于提供一套具有更少独立特设假设、内在叙事统一的备选本体图像，为基础物理研究提供一条区别于主流范式的备选路径[41、42]。</w:t>
      </w:r>
    </w:p>
    <w:p>
      <w:pPr>
        <w:pStyle w:val="38"/>
        <w:jc w:val="both"/>
      </w:pPr>
      <w:r>
        <w:rPr>
          <w:b/>
          <w:bCs/>
        </w:rPr>
        <w:t>版权声明：</w:t>
      </w:r>
      <w:r>
        <w:t>本文采用 CC BY 4.0 许可协议。使用者可共享、改编本作品，使用时需要标注原作者与原始来源。</w:t>
      </w:r>
    </w:p>
    <w:p>
      <w:pPr>
        <w:pStyle w:val="16"/>
        <w:spacing w:before="156" w:after="156"/>
      </w:pPr>
      <w:r>
        <w:rPr>
          <w:rFonts w:hint="eastAsia"/>
        </w:rPr>
        <w:t>[参考文献]</w:t>
      </w:r>
      <w:r>
        <w:t xml:space="preserve"> (References)</w:t>
      </w:r>
      <w:bookmarkStart w:id="26" w:name="referencesSelect"/>
      <w:bookmarkEnd w:id="26"/>
    </w:p>
    <w:p>
      <w:pPr>
        <w:pStyle w:val="28"/>
        <w:spacing w:before="156" w:after="156" w:line="240" w:lineRule="auto"/>
        <w:rPr>
          <w:rFonts w:eastAsia="宋体" w:cs="Times New Roman"/>
          <w:b w:val="0"/>
          <w:sz w:val="18"/>
          <w:szCs w:val="18"/>
        </w:rPr>
      </w:pPr>
      <w:bookmarkStart w:id="27" w:name="Vreferences"/>
      <w:r>
        <w:t>[1] Planck Collaboration. Planck 2018 results. VI. Cosmological parameters[J]. Astronomy &amp; Astrophysics, 2020, 641: A6.</w:t>
      </w:r>
      <w:bookmarkEnd w:id="27"/>
    </w:p>
    <w:p>
      <w:pPr>
        <w:pStyle w:val="28"/>
      </w:pPr>
      <w:r>
        <w:t>[2] Oerter R. The Theory of Almost Everything: The Standard Model, the Unsung Triumph of Modern Physics[M]. Penguin Books, 2006.</w:t>
      </w:r>
    </w:p>
    <w:p>
      <w:pPr>
        <w:pStyle w:val="28"/>
      </w:pPr>
      <w:r>
        <w:t>[3] Weinberg S. Gravitation and Cosmology: Principles and Applications of the General Theory of Relativity[M]. Wiley, 1972.</w:t>
      </w:r>
    </w:p>
    <w:p>
      <w:pPr>
        <w:pStyle w:val="28"/>
      </w:pPr>
      <w:r>
        <w:t>[4] Rovelli C. Quantum Gravity[M]. Cambridge University Press, 2004.</w:t>
      </w:r>
    </w:p>
    <w:p>
      <w:pPr>
        <w:pStyle w:val="28"/>
      </w:pPr>
      <w:r>
        <w:t>[5] Peebles P J E. Principles of Physical Cosmology[M]. Princeton University Press, 1993.</w:t>
      </w:r>
    </w:p>
    <w:p>
      <w:pPr>
        <w:pStyle w:val="28"/>
      </w:pPr>
      <w:r>
        <w:t>[6] Bell J S. On the Einstein Podolsky Rosen paradox[J]. Physics Physique Fizika, 1964, 1(3): 195-200.</w:t>
      </w:r>
    </w:p>
    <w:p>
      <w:pPr>
        <w:pStyle w:val="28"/>
      </w:pPr>
      <w:r>
        <w:t>[7] Zeilinger A. Dance of the Photons: From Einstein to Quantum Teleportation[M]. Farrar, Straus and Giroux, 2010.</w:t>
      </w:r>
    </w:p>
    <w:p>
      <w:pPr>
        <w:pStyle w:val="28"/>
      </w:pPr>
      <w:r>
        <w:t>[8] Smolin L. The Trouble with Physics: The Rise of String Theory, the Fall of a Science, and What Comes Next[M]. Houghton Mifflin Harcourt, 2006.</w:t>
      </w:r>
    </w:p>
    <w:p>
      <w:pPr>
        <w:pStyle w:val="28"/>
      </w:pPr>
      <w:r>
        <w:t>[9] Witten E. String theory dynamics in various dimensions[J]. Nuclear Physics B, 1995, 443(1): 85-126.</w:t>
      </w:r>
    </w:p>
    <w:p>
      <w:pPr>
        <w:pStyle w:val="28"/>
      </w:pPr>
      <w:r>
        <w:t>[10] Landau L D, Lifshitz E M. Statistical Physics Part 1[M]. Pergamon Press, 1980.</w:t>
      </w:r>
    </w:p>
    <w:p>
      <w:pPr>
        <w:pStyle w:val="28"/>
      </w:pPr>
      <w:r>
        <w:t>[11] Noether E. Invariante Variationsprobleme[J]. Nachrichten von der Gesellschaft der Wissenschaften zu Göttingen, Mathematisch-Physikalische Klasse, 1918: 235-257.</w:t>
      </w:r>
    </w:p>
    <w:p>
      <w:pPr>
        <w:pStyle w:val="28"/>
      </w:pPr>
      <w:r>
        <w:t>[12] Friedmann A. Über die Krümmung des Raumes[J]. Zeitschrift für Physik, 1922, 10(1): 377-386.</w:t>
      </w:r>
    </w:p>
    <w:p>
      <w:pPr>
        <w:pStyle w:val="28"/>
      </w:pPr>
      <w:r>
        <w:t>[13] Hubble E P. A relation between distance and radial velocity among extra-galactic nebulae[J]. Proceedings of the National Academy of Sciences, 1929, 15(3): 168-173.</w:t>
      </w:r>
    </w:p>
    <w:p>
      <w:pPr>
        <w:pStyle w:val="28"/>
      </w:pPr>
      <w:r>
        <w:t>[14] Guth A H. Inflationary universe: A possible solution to the horizon and flatness problems[J]. Physical Review D, 1981, 23(2): 347-356.</w:t>
      </w:r>
    </w:p>
    <w:p>
      <w:pPr>
        <w:pStyle w:val="28"/>
      </w:pPr>
      <w:r>
        <w:t>[15] Linde A D. A new inflationary universe scenario: A possible solution of the horizon, flatness, homogeneity, isotropy and primordial monopole problems[J]. Physics Letters B, 1982, 108(6): 389-393.</w:t>
      </w:r>
    </w:p>
    <w:p>
      <w:pPr>
        <w:pStyle w:val="28"/>
      </w:pPr>
      <w:r>
        <w:t>[16] Penzias A A, Wilson R W. A measurement of excess antenna temperature at 4080 Mc/s[J]. The Astrophysical Journal, 1965, 142: 419-421.</w:t>
      </w:r>
    </w:p>
    <w:p>
      <w:pPr>
        <w:pStyle w:val="28"/>
      </w:pPr>
      <w:r>
        <w:t>[17] Smoot G F, et al. Structure in the COBE differential microwave radiometer first-year maps[J]. The Astrophysical Journal Letters, 1992, 396(1): L1-L5.</w:t>
      </w:r>
    </w:p>
    <w:p>
      <w:pPr>
        <w:pStyle w:val="28"/>
      </w:pPr>
      <w:r>
        <w:t>[18] Komatsu E, et al. Seven-year Wilkinson Microwave Anisotropy Probe (WMAP) observations: cosmological interpretation[J]. The Astrophysical Journal Supplement Series, 2011, 192(2): 18.</w:t>
      </w:r>
    </w:p>
    <w:p>
      <w:pPr>
        <w:pStyle w:val="28"/>
      </w:pPr>
      <w:r>
        <w:t>[19] Griffiths D J. Introduction to Elementary Particles[M]. Wiley-VCH, 2008.</w:t>
      </w:r>
    </w:p>
    <w:p>
      <w:pPr>
        <w:pStyle w:val="28"/>
      </w:pPr>
      <w:r>
        <w:t>[20] Perkins D H. Introduction to High Energy Physics[M]. Cambridge University Press, 2000.</w:t>
      </w:r>
    </w:p>
    <w:p>
      <w:pPr>
        <w:pStyle w:val="28"/>
      </w:pPr>
      <w:r>
        <w:t>[21] Chandrasekhar S. The Mathematical Theory of Black Holes[M]. Oxford University Press, 1983.</w:t>
      </w:r>
    </w:p>
    <w:p>
      <w:pPr>
        <w:pStyle w:val="28"/>
      </w:pPr>
      <w:r>
        <w:t>[22] Jackson J D. Classical Electrodynamics[M]. Wiley, 1998.</w:t>
      </w:r>
    </w:p>
    <w:p>
      <w:pPr>
        <w:pStyle w:val="28"/>
      </w:pPr>
      <w:r>
        <w:t>[23] Yukawa H. On the interaction of elementary particles[J]. Proceedings of the Physico-Mathematical Society of Japan, 1935, 17: 48-57.</w:t>
      </w:r>
    </w:p>
    <w:p>
      <w:pPr>
        <w:pStyle w:val="28"/>
      </w:pPr>
      <w:r>
        <w:t>[24] Halzen F, Martin A D. Quarks and Leptons: An Introductory Course in Modern Particle Physics[M]. Wiley, 1984.</w:t>
      </w:r>
    </w:p>
    <w:p>
      <w:pPr>
        <w:pStyle w:val="28"/>
      </w:pPr>
      <w:r>
        <w:t>[25] Hawking S W. Black hole explosions?[J]. Nature, 1974, 248(5443): 30-31.</w:t>
      </w:r>
    </w:p>
    <w:p>
      <w:pPr>
        <w:pStyle w:val="28"/>
      </w:pPr>
      <w:r>
        <w:t>[26] Rubin V C, Ford W K, Thonnard N. Rotation of the Andromeda Nebula from a spectroscopic survey of emission regions[J]. The Astrophysical Journal, 1980, 238: 471-487.</w:t>
      </w:r>
    </w:p>
    <w:p>
      <w:pPr>
        <w:pStyle w:val="28"/>
      </w:pPr>
      <w:r>
        <w:t>[27] Bertone G, Hooper D, Silk J. Particle dark matter: evidence, candidates and constraints[J]. Physics Reports, 2005, 405(5-6): 279-390.</w:t>
      </w:r>
    </w:p>
    <w:p>
      <w:pPr>
        <w:pStyle w:val="28"/>
      </w:pPr>
      <w:r>
        <w:t>[28] Weinberg S. A model of leptons[J]. Physical Review Letters, 1967, 19(21): 1264-1266.</w:t>
      </w:r>
    </w:p>
    <w:p>
      <w:pPr>
        <w:pStyle w:val="28"/>
      </w:pPr>
      <w:r>
        <w:t>[29] Wilczek F. Origin of mass[J]. Proceedings of the National Academy of Sciences, 2004, 101(23): 8403-8410.</w:t>
      </w:r>
    </w:p>
    <w:p>
      <w:pPr>
        <w:pStyle w:val="28"/>
      </w:pPr>
      <w:r>
        <w:t>[30] Shannon C E. Communication in the presence of noise[J]. Proceedings of the IRE, 1949, 37(1): 10-21.</w:t>
      </w:r>
    </w:p>
    <w:p>
      <w:pPr>
        <w:pStyle w:val="28"/>
      </w:pPr>
      <w:r>
        <w:t>[31] Zeilinger A. The principle of complementarity in quantum physics[J]. Reviews of Modern Physics, 2000, 72(2): 288-305.</w:t>
      </w:r>
    </w:p>
    <w:p>
      <w:pPr>
        <w:pStyle w:val="28"/>
      </w:pPr>
      <w:r>
        <w:t>[32] Feynman R P, Leighton R B, Sands M. The Feynman Lectures on Physics[M]. Addison-Wesley, 1963.</w:t>
      </w:r>
    </w:p>
    <w:p>
      <w:pPr>
        <w:pStyle w:val="28"/>
      </w:pPr>
      <w:r>
        <w:t>[33] Wheeler J A, Zurek W H. Quantum Theory and Measurement[M]. Princeton University Press, 1983.</w:t>
      </w:r>
    </w:p>
    <w:p>
      <w:pPr>
        <w:pStyle w:val="28"/>
      </w:pPr>
      <w:r>
        <w:t>[34] Aspect A, Dalibard J, Roger G. Experimental test of Bell's inequalities using time-varying analyzers[J]. Physical Review Letters, 1982, 49(25): 1804-1807.</w:t>
      </w:r>
    </w:p>
    <w:p>
      <w:pPr>
        <w:pStyle w:val="28"/>
      </w:pPr>
      <w:r>
        <w:t>[35] Brassard G, et al. A review of some aspects of Bell's theorem[J]. Foundations of Physics, 2000, 30(11): 1601-1623.</w:t>
      </w:r>
    </w:p>
    <w:p>
      <w:pPr>
        <w:pStyle w:val="28"/>
      </w:pPr>
      <w:r>
        <w:t>[36] Gill R D. Bell's theorem: what it takes to prove it[J]. Statistical Science, 2014, 29(4): 512-528.</w:t>
      </w:r>
    </w:p>
    <w:p>
      <w:pPr>
        <w:pStyle w:val="28"/>
      </w:pPr>
      <w:r>
        <w:t>[37] Kaiser N. Weak gravitational lensing[J]. Annual Review of Astronomy and Astrophysics, 1992, 30: 311-348.</w:t>
      </w:r>
    </w:p>
    <w:p>
      <w:pPr>
        <w:pStyle w:val="28"/>
      </w:pPr>
      <w:r>
        <w:t>[38] DES Collaboration. Dark Energy Survey Year 3 results: Cosmological constraints from weak lensing and galaxy clustering[J]. Physical Review D, 2021, 104(12): 123529.</w:t>
      </w:r>
    </w:p>
    <w:p>
      <w:pPr>
        <w:pStyle w:val="28"/>
      </w:pPr>
      <w:r>
        <w:t>[39] Burbidge E M, Burbidge G R, Fowler W A, Hoyle F. Synthesis of the elements in stars[J]. Reviews of Modern Physics, 1957, 29(4): 547-650.</w:t>
      </w:r>
    </w:p>
    <w:p>
      <w:pPr>
        <w:pStyle w:val="28"/>
      </w:pPr>
      <w:r>
        <w:t>[40] Coc A, Vangioni E. Primordial nucleosynthesis[J]. International Journal of Modern Physics E, 2015, 24(08): 1530008.</w:t>
      </w:r>
    </w:p>
    <w:p>
      <w:pPr>
        <w:pStyle w:val="28"/>
      </w:pPr>
      <w:r>
        <w:t>[41] Popper K R. The Logic of Scientific Discovery[M]. Routledge, 1959.</w:t>
      </w:r>
    </w:p>
    <w:p>
      <w:pPr>
        <w:pStyle w:val="28"/>
      </w:pPr>
      <w:r>
        <w:t>[42] Kuhn T S. The Structure of Scientific Revolutions[M]. University of Chicago Press, 1962.</w:t>
      </w:r>
    </w:p>
    <w:sectPr>
      <w:type w:val="continuous"/>
      <w:pgSz w:w="11906" w:h="16838"/>
      <w:pgMar w:top="1440" w:right="1797" w:bottom="1440" w:left="1797" w:header="981" w:footer="992" w:gutter="0"/>
      <w:lnNumType w:countBy="5" w:distance="680" w:restart="continuous"/>
      <w:cols w:space="425" w:num="1"/>
      <w:docGrid w:type="lines" w:linePitch="312" w:charSpace="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embedRegular r:id="rId1" w:fontKey="{C2B6E487-3327-4429-A441-79293264E14E}"/>
  </w:font>
  <w:font w:name="宋体">
    <w:panose1 w:val="02010600030101010101"/>
    <w:charset w:val="86"/>
    <w:family w:val="auto"/>
    <w:pitch w:val="default"/>
    <w:sig w:usb0="00000203" w:usb1="288F0000" w:usb2="00000006" w:usb3="00000000" w:csb0="00040001" w:csb1="00000000"/>
    <w:embedRegular r:id="rId2" w:fontKey="{DE2219C9-7FE5-4AA7-8283-EA0FC0049B17}"/>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embedRegular r:id="rId3" w:fontKey="{D7B85054-C79C-493D-8AA6-62995877218C}"/>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Arial">
    <w:panose1 w:val="020B0604020202020204"/>
    <w:charset w:val="00"/>
    <w:family w:val="swiss"/>
    <w:pitch w:val="default"/>
    <w:sig w:usb0="E0002EFF" w:usb1="C000785B" w:usb2="00000009" w:usb3="00000000" w:csb0="400001FF" w:csb1="FFFF0000"/>
  </w:font>
  <w:font w:name="仿宋">
    <w:panose1 w:val="02010609060101010101"/>
    <w:charset w:val="86"/>
    <w:family w:val="auto"/>
    <w:pitch w:val="default"/>
    <w:sig w:usb0="800002BF" w:usb1="38CF7CFA" w:usb2="00000016" w:usb3="00000000" w:csb0="00040001" w:csb1="00000000"/>
  </w:font>
  <w:font w:name="楷体">
    <w:panose1 w:val="02010609060101010101"/>
    <w:charset w:val="86"/>
    <w:family w:val="auto"/>
    <w:pitch w:val="default"/>
    <w:sig w:usb0="800002BF" w:usb1="38CF7CFA" w:usb2="00000016" w:usb3="00000000" w:csb0="00040001" w:csb1="00000000"/>
  </w:font>
  <w:font w:name="方正综艺简体">
    <w:altName w:val="微软雅黑"/>
    <w:panose1 w:val="00000000000000000000"/>
    <w:charset w:val="86"/>
    <w:family w:val="script"/>
    <w:pitch w:val="default"/>
    <w:sig w:usb0="00000000" w:usb1="00000000" w:usb2="00000010" w:usb3="00000000" w:csb0="00040000" w:csb1="00000000"/>
    <w:embedRegular r:id="rId4" w:fontKey="{D6406133-B5FA-4E70-B1D3-1A8EEBD054A4}"/>
  </w:font>
  <w:font w:name="微软雅黑">
    <w:panose1 w:val="020B0503020204020204"/>
    <w:charset w:val="86"/>
    <w:family w:val="auto"/>
    <w:pitch w:val="default"/>
    <w:sig w:usb0="80000287" w:usb1="2ACF3C50" w:usb2="00000016" w:usb3="00000000" w:csb0="0004001F" w:csb1="00000000"/>
  </w:font>
  <w:font w:name="Cambria Math">
    <w:panose1 w:val="02040503050406030204"/>
    <w:charset w:val="00"/>
    <w:family w:val="auto"/>
    <w:pitch w:val="default"/>
    <w:sig w:usb0="E00006FF" w:usb1="420024FF" w:usb2="02000000" w:usb3="00000000" w:csb0="2000019F" w:csb1="00000000"/>
  </w:font>
  <w:font w:name="MS PGothic">
    <w:panose1 w:val="020B0600070205080204"/>
    <w:charset w:val="80"/>
    <w:family w:val="auto"/>
    <w:pitch w:val="default"/>
    <w:sig w:usb0="E00002FF" w:usb1="6AC7FDFB" w:usb2="08000012" w:usb3="00000000" w:csb0="4002009F" w:csb1="DFD70000"/>
  </w:font>
  <w:font w:name="FandolHei-Regular">
    <w:altName w:val="FFont-Family"/>
    <w:panose1 w:val="00000000000000000000"/>
    <w:charset w:val="00"/>
    <w:family w:val="auto"/>
    <w:pitch w:val="default"/>
    <w:sig w:usb0="00000000" w:usb1="00000000" w:usb2="00000000" w:usb3="00000000" w:csb0="00000000" w:csb1="00000000"/>
    <w:embedRegular r:id="rId5" w:fontKey="{4E333B96-032E-456B-A55D-58FFCE3431AD}"/>
  </w:font>
  <w:font w:name="FFont-Family">
    <w:panose1 w:val="02000509000000000000"/>
    <w:charset w:val="00"/>
    <w:family w:val="auto"/>
    <w:pitch w:val="default"/>
    <w:sig w:usb0="00000001" w:usb1="00000000" w:usb2="00000000" w:usb3="00000000" w:csb0="00000001" w:csb1="00000000"/>
  </w:font>
  <w:font w:name="FandolSong-Regular">
    <w:altName w:val="FFont-Family"/>
    <w:panose1 w:val="00000000000000000000"/>
    <w:charset w:val="00"/>
    <w:family w:val="auto"/>
    <w:pitch w:val="default"/>
    <w:sig w:usb0="00000000" w:usb1="00000000" w:usb2="00000000" w:usb3="00000000" w:csb0="00000000" w:csb1="00000000"/>
    <w:embedRegular r:id="rId6" w:fontKey="{4BF24886-2B39-49CD-8571-C354F7F08A2A}"/>
  </w:font>
  <w:font w:name="LMRoman8-Regular">
    <w:altName w:val="FFont-Family"/>
    <w:panose1 w:val="00000000000000000000"/>
    <w:charset w:val="00"/>
    <w:family w:val="auto"/>
    <w:pitch w:val="default"/>
    <w:sig w:usb0="00000000" w:usb1="00000000" w:usb2="00000000" w:usb3="00000000" w:csb0="00000000" w:csb1="00000000"/>
  </w:font>
  <w:font w:name="LMRoman17-Regular">
    <w:altName w:val="FFont-Family"/>
    <w:panose1 w:val="00000000000000000000"/>
    <w:charset w:val="00"/>
    <w:family w:val="auto"/>
    <w:pitch w:val="default"/>
    <w:sig w:usb0="00000000" w:usb1="00000000" w:usb2="00000000" w:usb3="00000000" w:csb0="00000000" w:csb1="00000000"/>
    <w:embedRegular r:id="rId7" w:fontKey="{BA054B69-4477-463F-9A67-DB024D26A347}"/>
  </w:font>
  <w:font w:name="LMRoman12-Regular">
    <w:altName w:val="FFont-Family"/>
    <w:panose1 w:val="00000000000000000000"/>
    <w:charset w:val="00"/>
    <w:family w:val="auto"/>
    <w:pitch w:val="default"/>
    <w:sig w:usb0="00000000" w:usb1="00000000" w:usb2="00000000" w:usb3="00000000" w:csb0="00000000" w:csb1="00000000"/>
    <w:embedRegular r:id="rId8" w:fontKey="{7F3DD567-717B-405B-8670-93D41F000C58}"/>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jc w:val="center"/>
    </w:pPr>
    <w:r>
      <w:rPr>
        <w:rFonts w:hint="eastAsia"/>
      </w:rPr>
      <w:t xml:space="preserve">- </w:t>
    </w:r>
    <w:r>
      <w:rPr>
        <w:rStyle w:val="13"/>
      </w:rPr>
      <w:fldChar w:fldCharType="begin"/>
    </w:r>
    <w:r>
      <w:rPr>
        <w:rStyle w:val="13"/>
      </w:rPr>
      <w:instrText xml:space="preserve"> PAGE </w:instrText>
    </w:r>
    <w:r>
      <w:rPr>
        <w:rStyle w:val="13"/>
      </w:rPr>
      <w:fldChar w:fldCharType="separate"/>
    </w:r>
    <w:r>
      <w:rPr>
        <w:rStyle w:val="13"/>
      </w:rPr>
      <w:t>1</w:t>
    </w:r>
    <w:r>
      <w:rPr>
        <w:rStyle w:val="13"/>
      </w:rPr>
      <w:fldChar w:fldCharType="end"/>
    </w:r>
    <w:r>
      <w:rPr>
        <w:rStyle w:val="13"/>
        <w:rFonts w:hint="eastAsia"/>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00" w:lineRule="auto"/>
      </w:pPr>
      <w:r>
        <w:separator/>
      </w:r>
    </w:p>
  </w:footnote>
  <w:footnote w:type="continuationSeparator" w:id="1">
    <w:p>
      <w:pPr>
        <w:spacing w:line="30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pPr>
    <w:r>
      <w:pict>
        <v:shape id="_x0000_s2054" o:spid="_x0000_s2054" o:spt="202" type="#_x0000_t202" style="position:absolute;left:0pt;margin-left:-2.85pt;margin-top:38.8pt;height:22pt;width:129.75pt;mso-position-horizontal-relative:margin;mso-position-vertical-relative:page;mso-wrap-style:none;z-index:251659264;mso-width-relative:page;mso-height-relative:page;" filled="f" stroked="f" coordsize="21600,21600">
          <v:path/>
          <v:fill on="f" focussize="0,0"/>
          <v:stroke on="f"/>
          <v:imagedata o:title=""/>
          <o:lock v:ext="edit" aspectratio="f"/>
          <v:textbox inset="0mm,0mm,0mm,0mm">
            <w:txbxContent>
              <w:p>
                <w:pPr>
                  <w:rPr>
                    <w:rFonts w:eastAsia="方正综艺简体"/>
                  </w:rPr>
                </w:pPr>
                <w:r>
                  <w:rPr>
                    <w:rFonts w:hint="eastAsia" w:ascii="方正综艺简体" w:eastAsia="方正综艺简体"/>
                    <w:b/>
                    <w:color w:val="DA0000"/>
                    <w:spacing w:val="2"/>
                    <w:sz w:val="32"/>
                    <w:szCs w:val="32"/>
                  </w:rPr>
                  <w:t>中国</w:t>
                </w:r>
                <w:r>
                  <w:rPr>
                    <w:rFonts w:hint="eastAsia" w:ascii="方正综艺简体" w:eastAsia="方正综艺简体"/>
                    <w:b/>
                    <w:spacing w:val="2"/>
                    <w:sz w:val="32"/>
                    <w:szCs w:val="32"/>
                  </w:rPr>
                  <w:t>科技论文在线</w:t>
                </w:r>
              </w:p>
            </w:txbxContent>
          </v:textbox>
        </v:shape>
      </w:pict>
    </w:r>
    <w:r>
      <w:rPr>
        <w:rFonts w:hint="eastAsia"/>
      </w:rPr>
      <w:tab/>
    </w:r>
    <w:r>
      <w:rPr>
        <w:rFonts w:hint="eastAsia"/>
        <w:lang w:val="en-US" w:eastAsia="zh-CN"/>
      </w:rPr>
      <w:t xml:space="preserve">                                                                        </w:t>
    </w:r>
    <w:r>
      <w:t>http://www.paper.edu.cn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31925E5A"/>
    <w:multiLevelType w:val="multilevel"/>
    <w:tmpl w:val="31925E5A"/>
    <w:lvl w:ilvl="0" w:tentative="0">
      <w:start w:val="0"/>
      <w:numFmt w:val="decimal"/>
      <w:pStyle w:val="37"/>
      <w:isLgl/>
      <w:lvlText w:val="%1"/>
      <w:lvlJc w:val="left"/>
      <w:pPr>
        <w:tabs>
          <w:tab w:val="left" w:pos="357"/>
        </w:tabs>
        <w:ind w:left="357" w:hanging="357"/>
      </w:pPr>
      <w:rPr>
        <w:rFonts w:hint="eastAsia"/>
      </w:rPr>
    </w:lvl>
    <w:lvl w:ilvl="1" w:tentative="0">
      <w:start w:val="1"/>
      <w:numFmt w:val="decimal"/>
      <w:pStyle w:val="29"/>
      <w:isLgl/>
      <w:lvlText w:val="%1.%2"/>
      <w:lvlJc w:val="left"/>
      <w:pPr>
        <w:tabs>
          <w:tab w:val="left" w:pos="567"/>
        </w:tabs>
        <w:ind w:left="567" w:hanging="567"/>
      </w:pPr>
      <w:rPr>
        <w:rFonts w:hint="eastAsia"/>
      </w:rPr>
    </w:lvl>
    <w:lvl w:ilvl="2" w:tentative="0">
      <w:start w:val="1"/>
      <w:numFmt w:val="decimal"/>
      <w:pStyle w:val="31"/>
      <w:isLgl/>
      <w:lvlText w:val="%1.%2.%3"/>
      <w:lvlJc w:val="left"/>
      <w:pPr>
        <w:tabs>
          <w:tab w:val="left" w:pos="680"/>
        </w:tabs>
        <w:ind w:left="680" w:hanging="680"/>
      </w:pPr>
      <w:rPr>
        <w:rFonts w:hint="eastAsia"/>
      </w:rPr>
    </w:lvl>
    <w:lvl w:ilvl="3" w:tentative="0">
      <w:start w:val="1"/>
      <w:numFmt w:val="decimal"/>
      <w:lvlText w:val="%1.%2.%3.%4"/>
      <w:lvlJc w:val="left"/>
      <w:pPr>
        <w:tabs>
          <w:tab w:val="left" w:pos="2716"/>
        </w:tabs>
        <w:ind w:left="1984" w:hanging="708"/>
      </w:pPr>
      <w:rPr>
        <w:rFonts w:hint="eastAsia"/>
      </w:rPr>
    </w:lvl>
    <w:lvl w:ilvl="4" w:tentative="0">
      <w:start w:val="1"/>
      <w:numFmt w:val="decimal"/>
      <w:lvlText w:val="%1.%2.%3.%4.%5"/>
      <w:lvlJc w:val="left"/>
      <w:pPr>
        <w:tabs>
          <w:tab w:val="left" w:pos="3501"/>
        </w:tabs>
        <w:ind w:left="2551" w:hanging="850"/>
      </w:pPr>
      <w:rPr>
        <w:rFonts w:hint="eastAsia"/>
      </w:rPr>
    </w:lvl>
    <w:lvl w:ilvl="5" w:tentative="0">
      <w:start w:val="1"/>
      <w:numFmt w:val="decimal"/>
      <w:lvlText w:val="%1.%2.%3.%4.%5.%6"/>
      <w:lvlJc w:val="left"/>
      <w:pPr>
        <w:tabs>
          <w:tab w:val="left" w:pos="4286"/>
        </w:tabs>
        <w:ind w:left="3260" w:hanging="1134"/>
      </w:pPr>
      <w:rPr>
        <w:rFonts w:hint="eastAsia"/>
      </w:rPr>
    </w:lvl>
    <w:lvl w:ilvl="6" w:tentative="0">
      <w:start w:val="1"/>
      <w:numFmt w:val="decimal"/>
      <w:lvlText w:val="%1.%2.%3.%4.%5.%6.%7"/>
      <w:lvlJc w:val="left"/>
      <w:pPr>
        <w:tabs>
          <w:tab w:val="left" w:pos="5071"/>
        </w:tabs>
        <w:ind w:left="3827" w:hanging="1276"/>
      </w:pPr>
      <w:rPr>
        <w:rFonts w:hint="eastAsia"/>
      </w:rPr>
    </w:lvl>
    <w:lvl w:ilvl="7" w:tentative="0">
      <w:start w:val="1"/>
      <w:numFmt w:val="decimal"/>
      <w:lvlText w:val="%1.%2.%3.%4.%5.%6.%7.%8"/>
      <w:lvlJc w:val="left"/>
      <w:pPr>
        <w:tabs>
          <w:tab w:val="left" w:pos="5856"/>
        </w:tabs>
        <w:ind w:left="4394" w:hanging="1418"/>
      </w:pPr>
      <w:rPr>
        <w:rFonts w:hint="eastAsia"/>
      </w:rPr>
    </w:lvl>
    <w:lvl w:ilvl="8" w:tentative="0">
      <w:start w:val="1"/>
      <w:numFmt w:val="decimal"/>
      <w:lvlText w:val="%1.%2.%3.%4.%5.%6.%7.%8.%9"/>
      <w:lvlJc w:val="left"/>
      <w:pPr>
        <w:tabs>
          <w:tab w:val="left" w:pos="6642"/>
        </w:tabs>
        <w:ind w:left="5102" w:hanging="1700"/>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50"/>
  <w:embedTrueTypeFonts/>
  <w:embedSystemFonts/>
  <w:saveSubsetFonts/>
  <w:bordersDoNotSurroundHeader w:val="0"/>
  <w:bordersDoNotSurroundFooter w:val="0"/>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NotTrackMoves/>
  <w:documentProtection w:enforcement="0"/>
  <w:defaultTabStop w:val="420"/>
  <w:drawingGridHorizontalSpacing w:val="105"/>
  <w:drawingGridVerticalSpacing w:val="156"/>
  <w:displayHorizontalDrawingGridEvery w:val="1"/>
  <w:displayVerticalDrawingGridEvery w:val="1"/>
  <w:noPunctuationKerning w:val="1"/>
  <w:characterSpacingControl w:val="compressPunctuation"/>
  <w:hdrShapeDefaults>
    <o:shapelayout v:ext="edit">
      <o:idmap v:ext="edit" data="2"/>
    </o:shapelayout>
  </w:hdrShapeDefaults>
  <w:footnotePr>
    <w:footnote w:id="0"/>
    <w:footnote w:id="1"/>
  </w:footnotePr>
  <w:endnotePr>
    <w:endnote w:id="0"/>
    <w:endnote w:id="1"/>
  </w:endnotePr>
  <w:compat>
    <w:spaceForUL/>
    <w:balanceSingleByteDoubleByteWidth/>
    <w:doNotLeaveBackslashAlone/>
    <w:ulTrailSpace/>
    <w:doNotExpandShiftReturn/>
    <w:footnoteLayoutLikeWW8/>
    <w:forgetLastTabAlignment/>
    <w:adjustLineHeightInTable/>
    <w:layoutRawTableWidth/>
    <w:layoutTableRowsApart/>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boolDoNotOpenAgain" w:val="True"/>
    <w:docVar w:name="commondata" w:val="eyJoZGlkIjoiY2NhMzk1ZTViZjVkOTQ4ZjE5ZTIzM2YzYTQ4Y2Q1YWIifQ=="/>
  </w:docVars>
  <w:rsids>
    <w:rsidRoot w:val="00BA5675"/>
    <w:rsid w:val="00010290"/>
    <w:rsid w:val="000111CA"/>
    <w:rsid w:val="00016F23"/>
    <w:rsid w:val="00023987"/>
    <w:rsid w:val="0002600C"/>
    <w:rsid w:val="000448D8"/>
    <w:rsid w:val="00044A7F"/>
    <w:rsid w:val="000459CF"/>
    <w:rsid w:val="00066633"/>
    <w:rsid w:val="00067972"/>
    <w:rsid w:val="00070CBA"/>
    <w:rsid w:val="000777A6"/>
    <w:rsid w:val="000B0A2D"/>
    <w:rsid w:val="000B394F"/>
    <w:rsid w:val="000B60AD"/>
    <w:rsid w:val="000C046D"/>
    <w:rsid w:val="000C283A"/>
    <w:rsid w:val="000C4C3B"/>
    <w:rsid w:val="000C5C96"/>
    <w:rsid w:val="000C5E85"/>
    <w:rsid w:val="000D7102"/>
    <w:rsid w:val="000E3ECA"/>
    <w:rsid w:val="000E630B"/>
    <w:rsid w:val="0010048A"/>
    <w:rsid w:val="00101D5A"/>
    <w:rsid w:val="00113DBC"/>
    <w:rsid w:val="00131394"/>
    <w:rsid w:val="001500B1"/>
    <w:rsid w:val="00150901"/>
    <w:rsid w:val="0015473D"/>
    <w:rsid w:val="00156B46"/>
    <w:rsid w:val="00156C3E"/>
    <w:rsid w:val="001715F1"/>
    <w:rsid w:val="001721C8"/>
    <w:rsid w:val="00174168"/>
    <w:rsid w:val="00177AAE"/>
    <w:rsid w:val="0019011F"/>
    <w:rsid w:val="0019086B"/>
    <w:rsid w:val="001967A7"/>
    <w:rsid w:val="001975DA"/>
    <w:rsid w:val="001A212D"/>
    <w:rsid w:val="001A6169"/>
    <w:rsid w:val="001A666A"/>
    <w:rsid w:val="001C0EA0"/>
    <w:rsid w:val="001D0BBE"/>
    <w:rsid w:val="001D1DEB"/>
    <w:rsid w:val="001D20CA"/>
    <w:rsid w:val="001D5E34"/>
    <w:rsid w:val="001E2357"/>
    <w:rsid w:val="001E7147"/>
    <w:rsid w:val="001F481A"/>
    <w:rsid w:val="001F5532"/>
    <w:rsid w:val="00202D0B"/>
    <w:rsid w:val="00202EE3"/>
    <w:rsid w:val="00211BBA"/>
    <w:rsid w:val="0022377E"/>
    <w:rsid w:val="002271EB"/>
    <w:rsid w:val="002378C8"/>
    <w:rsid w:val="002455B8"/>
    <w:rsid w:val="00247A9B"/>
    <w:rsid w:val="00256CD7"/>
    <w:rsid w:val="00257D81"/>
    <w:rsid w:val="00265280"/>
    <w:rsid w:val="00265594"/>
    <w:rsid w:val="00271D90"/>
    <w:rsid w:val="002748E9"/>
    <w:rsid w:val="002877D6"/>
    <w:rsid w:val="0029319B"/>
    <w:rsid w:val="002A0948"/>
    <w:rsid w:val="002B0AFE"/>
    <w:rsid w:val="002B6676"/>
    <w:rsid w:val="002C12E5"/>
    <w:rsid w:val="002C2C06"/>
    <w:rsid w:val="002C34D4"/>
    <w:rsid w:val="002C3FD9"/>
    <w:rsid w:val="002D4624"/>
    <w:rsid w:val="002D76F0"/>
    <w:rsid w:val="002E7595"/>
    <w:rsid w:val="002F2C0B"/>
    <w:rsid w:val="002F3D89"/>
    <w:rsid w:val="002F7A85"/>
    <w:rsid w:val="00306F4C"/>
    <w:rsid w:val="00316045"/>
    <w:rsid w:val="003318C8"/>
    <w:rsid w:val="003477A7"/>
    <w:rsid w:val="00347C69"/>
    <w:rsid w:val="003676F2"/>
    <w:rsid w:val="0037099E"/>
    <w:rsid w:val="00370EE5"/>
    <w:rsid w:val="00372616"/>
    <w:rsid w:val="003859C4"/>
    <w:rsid w:val="00390EB5"/>
    <w:rsid w:val="003A62AE"/>
    <w:rsid w:val="003B5781"/>
    <w:rsid w:val="003B7FA4"/>
    <w:rsid w:val="003C0C5E"/>
    <w:rsid w:val="003C1C73"/>
    <w:rsid w:val="003C4802"/>
    <w:rsid w:val="003C4DF3"/>
    <w:rsid w:val="003C63C4"/>
    <w:rsid w:val="003E3C71"/>
    <w:rsid w:val="003E457B"/>
    <w:rsid w:val="003E4DA4"/>
    <w:rsid w:val="003F01F9"/>
    <w:rsid w:val="003F5145"/>
    <w:rsid w:val="003F5EE2"/>
    <w:rsid w:val="00400EC1"/>
    <w:rsid w:val="0040665C"/>
    <w:rsid w:val="00422CE1"/>
    <w:rsid w:val="00424475"/>
    <w:rsid w:val="0042487D"/>
    <w:rsid w:val="004320D3"/>
    <w:rsid w:val="00434406"/>
    <w:rsid w:val="0044708E"/>
    <w:rsid w:val="00450798"/>
    <w:rsid w:val="00450B15"/>
    <w:rsid w:val="00451791"/>
    <w:rsid w:val="004602A4"/>
    <w:rsid w:val="00470FDE"/>
    <w:rsid w:val="0047144A"/>
    <w:rsid w:val="004741F0"/>
    <w:rsid w:val="00477ADB"/>
    <w:rsid w:val="00490FC4"/>
    <w:rsid w:val="004A19E5"/>
    <w:rsid w:val="004A78BE"/>
    <w:rsid w:val="004B035B"/>
    <w:rsid w:val="004B467F"/>
    <w:rsid w:val="004B7C2B"/>
    <w:rsid w:val="004D3354"/>
    <w:rsid w:val="004E28A7"/>
    <w:rsid w:val="004F5128"/>
    <w:rsid w:val="004F5DFB"/>
    <w:rsid w:val="004F7DA6"/>
    <w:rsid w:val="005046EF"/>
    <w:rsid w:val="00506F3A"/>
    <w:rsid w:val="005126BF"/>
    <w:rsid w:val="0052572B"/>
    <w:rsid w:val="00531F02"/>
    <w:rsid w:val="00532BD9"/>
    <w:rsid w:val="00541D9E"/>
    <w:rsid w:val="005500AE"/>
    <w:rsid w:val="005502C8"/>
    <w:rsid w:val="005658AD"/>
    <w:rsid w:val="00567AA6"/>
    <w:rsid w:val="00572A6B"/>
    <w:rsid w:val="005803F2"/>
    <w:rsid w:val="00587C6C"/>
    <w:rsid w:val="0059744F"/>
    <w:rsid w:val="005B4D21"/>
    <w:rsid w:val="005B6557"/>
    <w:rsid w:val="005E1174"/>
    <w:rsid w:val="005E120D"/>
    <w:rsid w:val="005E5404"/>
    <w:rsid w:val="005F4156"/>
    <w:rsid w:val="00600394"/>
    <w:rsid w:val="00600C6A"/>
    <w:rsid w:val="006041AE"/>
    <w:rsid w:val="006061C6"/>
    <w:rsid w:val="006105E2"/>
    <w:rsid w:val="006109B9"/>
    <w:rsid w:val="006164BB"/>
    <w:rsid w:val="006229D6"/>
    <w:rsid w:val="00680DC1"/>
    <w:rsid w:val="00687AA9"/>
    <w:rsid w:val="006B3D03"/>
    <w:rsid w:val="006B5AD9"/>
    <w:rsid w:val="006C12DE"/>
    <w:rsid w:val="006C2398"/>
    <w:rsid w:val="006C56F5"/>
    <w:rsid w:val="006C625A"/>
    <w:rsid w:val="006C71D5"/>
    <w:rsid w:val="006C7499"/>
    <w:rsid w:val="006D1037"/>
    <w:rsid w:val="006D5905"/>
    <w:rsid w:val="006E0AE4"/>
    <w:rsid w:val="006E5F72"/>
    <w:rsid w:val="006E7612"/>
    <w:rsid w:val="006F4278"/>
    <w:rsid w:val="006F7B7E"/>
    <w:rsid w:val="007012C7"/>
    <w:rsid w:val="007013F1"/>
    <w:rsid w:val="0071052A"/>
    <w:rsid w:val="0072146D"/>
    <w:rsid w:val="00743980"/>
    <w:rsid w:val="007471A4"/>
    <w:rsid w:val="007506A4"/>
    <w:rsid w:val="0076546C"/>
    <w:rsid w:val="007668CA"/>
    <w:rsid w:val="007714DD"/>
    <w:rsid w:val="0077284B"/>
    <w:rsid w:val="007773A0"/>
    <w:rsid w:val="00795D4A"/>
    <w:rsid w:val="00796609"/>
    <w:rsid w:val="007A2C55"/>
    <w:rsid w:val="007B4D6D"/>
    <w:rsid w:val="007C189E"/>
    <w:rsid w:val="007C4F3A"/>
    <w:rsid w:val="007D08A2"/>
    <w:rsid w:val="007D29CE"/>
    <w:rsid w:val="007D3162"/>
    <w:rsid w:val="007E39CD"/>
    <w:rsid w:val="00805A66"/>
    <w:rsid w:val="00805AC1"/>
    <w:rsid w:val="00814E34"/>
    <w:rsid w:val="00821804"/>
    <w:rsid w:val="00832EDA"/>
    <w:rsid w:val="00835095"/>
    <w:rsid w:val="00836F41"/>
    <w:rsid w:val="00854A88"/>
    <w:rsid w:val="00862663"/>
    <w:rsid w:val="008712C5"/>
    <w:rsid w:val="00876088"/>
    <w:rsid w:val="00876D3F"/>
    <w:rsid w:val="00877980"/>
    <w:rsid w:val="0089284E"/>
    <w:rsid w:val="00894308"/>
    <w:rsid w:val="008A4FD0"/>
    <w:rsid w:val="008D0305"/>
    <w:rsid w:val="008D063E"/>
    <w:rsid w:val="008D0F65"/>
    <w:rsid w:val="008D3C3F"/>
    <w:rsid w:val="008D42C6"/>
    <w:rsid w:val="008D4707"/>
    <w:rsid w:val="008E2D34"/>
    <w:rsid w:val="008E4523"/>
    <w:rsid w:val="008F1436"/>
    <w:rsid w:val="008F3CD4"/>
    <w:rsid w:val="00900DC2"/>
    <w:rsid w:val="009037FD"/>
    <w:rsid w:val="00940790"/>
    <w:rsid w:val="00946F9C"/>
    <w:rsid w:val="009536F3"/>
    <w:rsid w:val="009574F6"/>
    <w:rsid w:val="00961484"/>
    <w:rsid w:val="00980291"/>
    <w:rsid w:val="00985BA0"/>
    <w:rsid w:val="00990E08"/>
    <w:rsid w:val="009A1CB4"/>
    <w:rsid w:val="009A26A5"/>
    <w:rsid w:val="009B1AA4"/>
    <w:rsid w:val="009B32DD"/>
    <w:rsid w:val="009C572E"/>
    <w:rsid w:val="009C7DBA"/>
    <w:rsid w:val="009D2067"/>
    <w:rsid w:val="009D20D8"/>
    <w:rsid w:val="009D2DD5"/>
    <w:rsid w:val="009D4EB2"/>
    <w:rsid w:val="009E112E"/>
    <w:rsid w:val="009F1793"/>
    <w:rsid w:val="009F1A6D"/>
    <w:rsid w:val="009F28D2"/>
    <w:rsid w:val="009F3BAF"/>
    <w:rsid w:val="00A05B4B"/>
    <w:rsid w:val="00A07D66"/>
    <w:rsid w:val="00A20290"/>
    <w:rsid w:val="00A2206A"/>
    <w:rsid w:val="00A2702E"/>
    <w:rsid w:val="00A34F99"/>
    <w:rsid w:val="00A42884"/>
    <w:rsid w:val="00A53073"/>
    <w:rsid w:val="00A5327F"/>
    <w:rsid w:val="00A53A29"/>
    <w:rsid w:val="00A565A2"/>
    <w:rsid w:val="00A574BB"/>
    <w:rsid w:val="00A60858"/>
    <w:rsid w:val="00A650F6"/>
    <w:rsid w:val="00A72071"/>
    <w:rsid w:val="00A72696"/>
    <w:rsid w:val="00A8614B"/>
    <w:rsid w:val="00A911B8"/>
    <w:rsid w:val="00AB42E4"/>
    <w:rsid w:val="00AB595D"/>
    <w:rsid w:val="00AB6965"/>
    <w:rsid w:val="00AC69BD"/>
    <w:rsid w:val="00AD10FE"/>
    <w:rsid w:val="00AD1BFF"/>
    <w:rsid w:val="00AD4BE2"/>
    <w:rsid w:val="00AE0233"/>
    <w:rsid w:val="00AE2926"/>
    <w:rsid w:val="00AE7B70"/>
    <w:rsid w:val="00AF3354"/>
    <w:rsid w:val="00AF3D51"/>
    <w:rsid w:val="00AF4324"/>
    <w:rsid w:val="00AF5B25"/>
    <w:rsid w:val="00B013F8"/>
    <w:rsid w:val="00B015B4"/>
    <w:rsid w:val="00B02B9D"/>
    <w:rsid w:val="00B050AB"/>
    <w:rsid w:val="00B1512D"/>
    <w:rsid w:val="00B31DCB"/>
    <w:rsid w:val="00B35B5B"/>
    <w:rsid w:val="00B453DB"/>
    <w:rsid w:val="00B465D6"/>
    <w:rsid w:val="00B5062F"/>
    <w:rsid w:val="00B578CD"/>
    <w:rsid w:val="00B60AC3"/>
    <w:rsid w:val="00B61EC9"/>
    <w:rsid w:val="00B713AD"/>
    <w:rsid w:val="00B71A86"/>
    <w:rsid w:val="00B73F16"/>
    <w:rsid w:val="00B80C66"/>
    <w:rsid w:val="00B82BC2"/>
    <w:rsid w:val="00B926AC"/>
    <w:rsid w:val="00BA5675"/>
    <w:rsid w:val="00BB4CE1"/>
    <w:rsid w:val="00BC0535"/>
    <w:rsid w:val="00BC0A88"/>
    <w:rsid w:val="00BC226E"/>
    <w:rsid w:val="00BC3098"/>
    <w:rsid w:val="00BC413C"/>
    <w:rsid w:val="00BC5FD5"/>
    <w:rsid w:val="00BD64F2"/>
    <w:rsid w:val="00BE2814"/>
    <w:rsid w:val="00BE4A4E"/>
    <w:rsid w:val="00BF05F3"/>
    <w:rsid w:val="00BF446F"/>
    <w:rsid w:val="00BF547F"/>
    <w:rsid w:val="00BF754B"/>
    <w:rsid w:val="00C06F60"/>
    <w:rsid w:val="00C14994"/>
    <w:rsid w:val="00C2546C"/>
    <w:rsid w:val="00C2780E"/>
    <w:rsid w:val="00C30F55"/>
    <w:rsid w:val="00C3208B"/>
    <w:rsid w:val="00C372E0"/>
    <w:rsid w:val="00C37935"/>
    <w:rsid w:val="00C4206C"/>
    <w:rsid w:val="00C50142"/>
    <w:rsid w:val="00C502BB"/>
    <w:rsid w:val="00C56776"/>
    <w:rsid w:val="00C63A43"/>
    <w:rsid w:val="00C64C0A"/>
    <w:rsid w:val="00C662E9"/>
    <w:rsid w:val="00C73FC6"/>
    <w:rsid w:val="00C74180"/>
    <w:rsid w:val="00C766C1"/>
    <w:rsid w:val="00C96BEE"/>
    <w:rsid w:val="00C97EF3"/>
    <w:rsid w:val="00CB7AD9"/>
    <w:rsid w:val="00CC45BF"/>
    <w:rsid w:val="00CC55A2"/>
    <w:rsid w:val="00CD3AD0"/>
    <w:rsid w:val="00CD4EBB"/>
    <w:rsid w:val="00CE10A6"/>
    <w:rsid w:val="00CE759F"/>
    <w:rsid w:val="00D0772C"/>
    <w:rsid w:val="00D16A4C"/>
    <w:rsid w:val="00D2330D"/>
    <w:rsid w:val="00D23963"/>
    <w:rsid w:val="00D26F08"/>
    <w:rsid w:val="00D3168C"/>
    <w:rsid w:val="00D34FC0"/>
    <w:rsid w:val="00D36152"/>
    <w:rsid w:val="00D37A8C"/>
    <w:rsid w:val="00D404E0"/>
    <w:rsid w:val="00D41162"/>
    <w:rsid w:val="00D53ABB"/>
    <w:rsid w:val="00D55EAC"/>
    <w:rsid w:val="00D61879"/>
    <w:rsid w:val="00D63E49"/>
    <w:rsid w:val="00D66AB8"/>
    <w:rsid w:val="00D679FD"/>
    <w:rsid w:val="00D7025D"/>
    <w:rsid w:val="00D71A78"/>
    <w:rsid w:val="00D72C56"/>
    <w:rsid w:val="00D74C67"/>
    <w:rsid w:val="00D756C5"/>
    <w:rsid w:val="00D762B6"/>
    <w:rsid w:val="00D806D7"/>
    <w:rsid w:val="00D81FA9"/>
    <w:rsid w:val="00D92EF2"/>
    <w:rsid w:val="00DA22E5"/>
    <w:rsid w:val="00DA6115"/>
    <w:rsid w:val="00DB2034"/>
    <w:rsid w:val="00DB5707"/>
    <w:rsid w:val="00DD17E8"/>
    <w:rsid w:val="00DE038C"/>
    <w:rsid w:val="00DE3C37"/>
    <w:rsid w:val="00E046CC"/>
    <w:rsid w:val="00E072E2"/>
    <w:rsid w:val="00E106E2"/>
    <w:rsid w:val="00E158AA"/>
    <w:rsid w:val="00E25873"/>
    <w:rsid w:val="00E26C09"/>
    <w:rsid w:val="00E3548F"/>
    <w:rsid w:val="00E42A68"/>
    <w:rsid w:val="00E52AEA"/>
    <w:rsid w:val="00E52EEC"/>
    <w:rsid w:val="00E56388"/>
    <w:rsid w:val="00E56C31"/>
    <w:rsid w:val="00E57CDB"/>
    <w:rsid w:val="00E61949"/>
    <w:rsid w:val="00E65225"/>
    <w:rsid w:val="00E664E4"/>
    <w:rsid w:val="00E906C7"/>
    <w:rsid w:val="00E909FA"/>
    <w:rsid w:val="00E91EAE"/>
    <w:rsid w:val="00E966B1"/>
    <w:rsid w:val="00EB4632"/>
    <w:rsid w:val="00EC6CF3"/>
    <w:rsid w:val="00ED1B47"/>
    <w:rsid w:val="00ED2FF0"/>
    <w:rsid w:val="00EE19FD"/>
    <w:rsid w:val="00EF0350"/>
    <w:rsid w:val="00F07B82"/>
    <w:rsid w:val="00F14BF8"/>
    <w:rsid w:val="00F211B9"/>
    <w:rsid w:val="00F2350F"/>
    <w:rsid w:val="00F32628"/>
    <w:rsid w:val="00F36343"/>
    <w:rsid w:val="00F36C4B"/>
    <w:rsid w:val="00F47AD0"/>
    <w:rsid w:val="00F52C77"/>
    <w:rsid w:val="00F627D5"/>
    <w:rsid w:val="00F633BB"/>
    <w:rsid w:val="00F658CB"/>
    <w:rsid w:val="00F6701E"/>
    <w:rsid w:val="00F675E7"/>
    <w:rsid w:val="00F70096"/>
    <w:rsid w:val="00F71AD1"/>
    <w:rsid w:val="00F72FC0"/>
    <w:rsid w:val="00F92530"/>
    <w:rsid w:val="00F964D2"/>
    <w:rsid w:val="00FA29EF"/>
    <w:rsid w:val="00FB1164"/>
    <w:rsid w:val="00FE07AC"/>
    <w:rsid w:val="00FE36AB"/>
    <w:rsid w:val="00FE4ABC"/>
    <w:rsid w:val="00FF7001"/>
    <w:rsid w:val="07A1051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iPriority="99" w:name="Normal Table"/>
    <w:lsdException w:unhideWhenUsed="0" w:uiPriority="0" w:semiHidden="0" w:name="annotation subject"/>
    <w:lsdException w:unhideWhenUsed="0" w:uiPriority="0" w:semiHidden="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autoRedefine/>
    <w:qFormat/>
    <w:uiPriority w:val="0"/>
    <w:pPr>
      <w:widowControl w:val="0"/>
      <w:adjustRightInd w:val="0"/>
      <w:snapToGrid w:val="0"/>
      <w:spacing w:line="300" w:lineRule="auto"/>
      <w:jc w:val="both"/>
      <w:textAlignment w:val="baseline"/>
    </w:pPr>
    <w:rPr>
      <w:rFonts w:ascii="Times New Roman" w:hAnsi="Times New Roman" w:eastAsia="宋体" w:cs="Times New Roman"/>
      <w:sz w:val="21"/>
      <w:szCs w:val="21"/>
      <w:lang w:val="en-US" w:eastAsia="zh-CN" w:bidi="ar-SA"/>
    </w:rPr>
  </w:style>
  <w:style w:type="paragraph" w:styleId="2">
    <w:name w:val="heading 1"/>
    <w:basedOn w:val="1"/>
    <w:next w:val="1"/>
    <w:qFormat/>
    <w:uiPriority w:val="0"/>
    <w:pPr>
      <w:keepNext/>
      <w:keepLines/>
      <w:spacing w:line="360" w:lineRule="auto"/>
      <w:outlineLvl w:val="0"/>
    </w:pPr>
    <w:rPr>
      <w:rFonts w:eastAsia="黑体"/>
      <w:bCs/>
      <w:kern w:val="44"/>
      <w:sz w:val="44"/>
      <w:szCs w:val="44"/>
    </w:rPr>
  </w:style>
  <w:style w:type="paragraph" w:styleId="3">
    <w:name w:val="heading 2"/>
    <w:basedOn w:val="1"/>
    <w:next w:val="1"/>
    <w:qFormat/>
    <w:uiPriority w:val="0"/>
    <w:pPr>
      <w:keepNext/>
      <w:keepLines/>
      <w:spacing w:line="360" w:lineRule="auto"/>
      <w:outlineLvl w:val="1"/>
    </w:pPr>
    <w:rPr>
      <w:rFonts w:ascii="Arial" w:hAnsi="Arial" w:eastAsia="黑体"/>
      <w:bCs/>
      <w:sz w:val="30"/>
      <w:szCs w:val="32"/>
    </w:rPr>
  </w:style>
  <w:style w:type="character" w:default="1" w:styleId="12">
    <w:name w:val="Default Paragraph Font"/>
    <w:semiHidden/>
    <w:unhideWhenUsed/>
    <w:uiPriority w:val="1"/>
  </w:style>
  <w:style w:type="table" w:default="1" w:styleId="10">
    <w:name w:val="Normal Table"/>
    <w:semiHidden/>
    <w:unhideWhenUsed/>
    <w:uiPriority w:val="99"/>
    <w:tblPr>
      <w:tblCellMar>
        <w:top w:w="0" w:type="dxa"/>
        <w:left w:w="108" w:type="dxa"/>
        <w:bottom w:w="0" w:type="dxa"/>
        <w:right w:w="108" w:type="dxa"/>
      </w:tblCellMar>
    </w:tblPr>
  </w:style>
  <w:style w:type="paragraph" w:styleId="4">
    <w:name w:val="Normal Indent"/>
    <w:basedOn w:val="1"/>
    <w:uiPriority w:val="0"/>
    <w:pPr>
      <w:adjustRightInd/>
      <w:snapToGrid/>
      <w:spacing w:line="240" w:lineRule="auto"/>
      <w:ind w:firstLine="420"/>
      <w:textAlignment w:val="auto"/>
    </w:pPr>
    <w:rPr>
      <w:kern w:val="2"/>
      <w:szCs w:val="20"/>
    </w:rPr>
  </w:style>
  <w:style w:type="paragraph" w:styleId="5">
    <w:name w:val="Document Map"/>
    <w:basedOn w:val="1"/>
    <w:semiHidden/>
    <w:uiPriority w:val="0"/>
    <w:pPr>
      <w:shd w:val="clear" w:color="auto" w:fill="000080"/>
    </w:pPr>
  </w:style>
  <w:style w:type="paragraph" w:styleId="6">
    <w:name w:val="Body Text"/>
    <w:basedOn w:val="1"/>
    <w:link w:val="50"/>
    <w:uiPriority w:val="0"/>
    <w:pPr>
      <w:adjustRightInd/>
      <w:snapToGrid/>
      <w:spacing w:after="120" w:line="240" w:lineRule="auto"/>
      <w:textAlignment w:val="auto"/>
    </w:pPr>
    <w:rPr>
      <w:kern w:val="2"/>
      <w:szCs w:val="24"/>
    </w:rPr>
  </w:style>
  <w:style w:type="paragraph" w:styleId="7">
    <w:name w:val="footer"/>
    <w:basedOn w:val="1"/>
    <w:uiPriority w:val="0"/>
    <w:pPr>
      <w:tabs>
        <w:tab w:val="center" w:pos="4153"/>
        <w:tab w:val="right" w:pos="8306"/>
      </w:tabs>
      <w:spacing w:line="240" w:lineRule="auto"/>
      <w:jc w:val="left"/>
    </w:pPr>
    <w:rPr>
      <w:sz w:val="18"/>
      <w:szCs w:val="18"/>
    </w:rPr>
  </w:style>
  <w:style w:type="paragraph" w:styleId="8">
    <w:name w:val="header"/>
    <w:basedOn w:val="1"/>
    <w:uiPriority w:val="0"/>
    <w:pPr>
      <w:pBdr>
        <w:bottom w:val="single" w:color="auto" w:sz="6" w:space="1"/>
      </w:pBdr>
      <w:tabs>
        <w:tab w:val="center" w:pos="4153"/>
        <w:tab w:val="right" w:pos="8306"/>
      </w:tabs>
      <w:spacing w:line="240" w:lineRule="auto"/>
      <w:jc w:val="center"/>
    </w:pPr>
    <w:rPr>
      <w:sz w:val="18"/>
      <w:szCs w:val="18"/>
    </w:rPr>
  </w:style>
  <w:style w:type="paragraph" w:styleId="9">
    <w:name w:val="footnote text"/>
    <w:basedOn w:val="1"/>
    <w:semiHidden/>
    <w:uiPriority w:val="0"/>
    <w:pPr>
      <w:jc w:val="left"/>
    </w:pPr>
    <w:rPr>
      <w:sz w:val="18"/>
      <w:szCs w:val="18"/>
    </w:rPr>
  </w:style>
  <w:style w:type="table" w:styleId="11">
    <w:name w:val="Table Simple 1"/>
    <w:basedOn w:val="10"/>
    <w:uiPriority w:val="0"/>
    <w:pPr>
      <w:widowControl w:val="0"/>
      <w:adjustRightInd w:val="0"/>
      <w:snapToGrid w:val="0"/>
      <w:spacing w:line="300" w:lineRule="auto"/>
      <w:jc w:val="both"/>
      <w:textAlignment w:val="baseline"/>
    </w:pPr>
    <w:tblPr>
      <w:tblBorders>
        <w:top w:val="single" w:color="008000" w:sz="12" w:space="0"/>
        <w:bottom w:val="single" w:color="008000" w:sz="12" w:space="0"/>
      </w:tblBorders>
      <w:tblCellMar>
        <w:top w:w="0" w:type="dxa"/>
        <w:left w:w="108" w:type="dxa"/>
        <w:bottom w:w="0" w:type="dxa"/>
        <w:right w:w="108" w:type="dxa"/>
      </w:tblCellMar>
    </w:tblPr>
    <w:tcPr>
      <w:shd w:val="clear" w:color="auto" w:fill="auto"/>
    </w:tcPr>
    <w:tblStylePr w:type="firstRow">
      <w:tblPr/>
      <w:tcPr>
        <w:tcBorders>
          <w:bottom w:val="single" w:color="008000" w:sz="6" w:space="0"/>
          <w:tl2br w:val="nil"/>
          <w:tr2bl w:val="nil"/>
        </w:tcBorders>
      </w:tcPr>
    </w:tblStylePr>
    <w:tblStylePr w:type="lastRow">
      <w:tblPr/>
      <w:tcPr>
        <w:tcBorders>
          <w:top w:val="single" w:color="008000" w:sz="6" w:space="0"/>
          <w:tl2br w:val="nil"/>
          <w:tr2bl w:val="nil"/>
        </w:tcBorders>
      </w:tcPr>
    </w:tblStylePr>
  </w:style>
  <w:style w:type="character" w:styleId="13">
    <w:name w:val="page number"/>
    <w:basedOn w:val="12"/>
    <w:uiPriority w:val="0"/>
  </w:style>
  <w:style w:type="character" w:styleId="14">
    <w:name w:val="line number"/>
    <w:basedOn w:val="12"/>
    <w:uiPriority w:val="0"/>
  </w:style>
  <w:style w:type="character" w:styleId="15">
    <w:name w:val="footnote reference"/>
    <w:semiHidden/>
    <w:uiPriority w:val="0"/>
    <w:rPr>
      <w:vertAlign w:val="superscript"/>
    </w:rPr>
  </w:style>
  <w:style w:type="paragraph" w:customStyle="1" w:styleId="16">
    <w:name w:val="CSO-“参考文献”"/>
    <w:qFormat/>
    <w:uiPriority w:val="0"/>
    <w:pPr>
      <w:adjustRightInd w:val="0"/>
      <w:snapToGrid w:val="0"/>
      <w:spacing w:beforeLines="50" w:afterLines="50" w:line="300" w:lineRule="auto"/>
      <w:jc w:val="both"/>
    </w:pPr>
    <w:rPr>
      <w:rFonts w:ascii="Times New Roman" w:hAnsi="Times New Roman" w:eastAsia="黑体" w:cs="宋体"/>
      <w:b/>
      <w:sz w:val="21"/>
      <w:szCs w:val="21"/>
      <w:lang w:val="en-US" w:eastAsia="zh-CN" w:bidi="ar-SA"/>
    </w:rPr>
  </w:style>
  <w:style w:type="character" w:customStyle="1" w:styleId="17">
    <w:name w:val="CSO-“中图分类号”"/>
    <w:uiPriority w:val="0"/>
    <w:rPr>
      <w:rFonts w:eastAsia="黑体"/>
      <w:sz w:val="21"/>
    </w:rPr>
  </w:style>
  <w:style w:type="character" w:customStyle="1" w:styleId="18">
    <w:name w:val="CSO-“作者简介”"/>
    <w:uiPriority w:val="0"/>
    <w:rPr>
      <w:rFonts w:eastAsia="宋体"/>
      <w:b/>
      <w:sz w:val="21"/>
    </w:rPr>
  </w:style>
  <w:style w:type="paragraph" w:customStyle="1" w:styleId="19">
    <w:name w:val="CSO-Abstract Text"/>
    <w:autoRedefine/>
    <w:uiPriority w:val="0"/>
    <w:pPr>
      <w:widowControl w:val="0"/>
      <w:adjustRightInd w:val="0"/>
      <w:snapToGrid w:val="0"/>
      <w:jc w:val="both"/>
    </w:pPr>
    <w:rPr>
      <w:rFonts w:ascii="Times New Roman" w:hAnsi="Times New Roman" w:eastAsia="Times New Roman" w:cs="宋体"/>
      <w:lang w:val="en-US" w:eastAsia="en-US" w:bidi="ar-SA"/>
    </w:rPr>
  </w:style>
  <w:style w:type="character" w:customStyle="1" w:styleId="20">
    <w:name w:val="CSO-AbstractHead"/>
    <w:uiPriority w:val="0"/>
    <w:rPr>
      <w:rFonts w:cs="Times New Roman"/>
      <w:b/>
    </w:rPr>
  </w:style>
  <w:style w:type="paragraph" w:customStyle="1" w:styleId="21">
    <w:name w:val="CSO-Author address"/>
    <w:uiPriority w:val="0"/>
    <w:pPr>
      <w:adjustRightInd w:val="0"/>
      <w:jc w:val="center"/>
    </w:pPr>
    <w:rPr>
      <w:rFonts w:ascii="Times New Roman" w:hAnsi="Times New Roman" w:eastAsia="仿宋" w:cs="宋体"/>
      <w:sz w:val="21"/>
      <w:szCs w:val="21"/>
      <w:lang w:val="en-US" w:eastAsia="zh-CN" w:bidi="ar-SA"/>
    </w:rPr>
  </w:style>
  <w:style w:type="paragraph" w:customStyle="1" w:styleId="22">
    <w:name w:val="CSO-Author name"/>
    <w:uiPriority w:val="0"/>
    <w:pPr>
      <w:snapToGrid w:val="0"/>
      <w:jc w:val="center"/>
    </w:pPr>
    <w:rPr>
      <w:rFonts w:ascii="Times New Roman" w:hAnsi="Times New Roman" w:eastAsia="宋体" w:cs="宋体"/>
      <w:sz w:val="24"/>
      <w:lang w:val="en-US" w:eastAsia="zh-CN" w:bidi="ar-SA"/>
    </w:rPr>
  </w:style>
  <w:style w:type="character" w:customStyle="1" w:styleId="23">
    <w:name w:val="CSO-KeywordsHead"/>
    <w:uiPriority w:val="0"/>
    <w:rPr>
      <w:rFonts w:ascii="Times New Roman" w:hAnsi="Times New Roman"/>
      <w:b/>
      <w:sz w:val="20"/>
    </w:rPr>
  </w:style>
  <w:style w:type="paragraph" w:customStyle="1" w:styleId="24">
    <w:name w:val="CSO-KeywordsText"/>
    <w:autoRedefine/>
    <w:uiPriority w:val="0"/>
    <w:pPr>
      <w:widowControl w:val="0"/>
      <w:snapToGrid w:val="0"/>
      <w:jc w:val="both"/>
    </w:pPr>
    <w:rPr>
      <w:rFonts w:ascii="Times New Roman" w:hAnsi="Times New Roman" w:eastAsia="Times New Roman" w:cs="Times New Roman"/>
      <w:szCs w:val="21"/>
      <w:lang w:val="en-US" w:eastAsia="zh-CN" w:bidi="ar-SA"/>
    </w:rPr>
  </w:style>
  <w:style w:type="paragraph" w:customStyle="1" w:styleId="25">
    <w:name w:val="CSO-Title"/>
    <w:autoRedefine/>
    <w:qFormat/>
    <w:uiPriority w:val="0"/>
    <w:pPr>
      <w:adjustRightInd w:val="0"/>
      <w:spacing w:before="120" w:after="120"/>
      <w:jc w:val="center"/>
    </w:pPr>
    <w:rPr>
      <w:rFonts w:ascii="Times New Roman" w:hAnsi="Times New Roman" w:eastAsia="宋体" w:cs="宋体"/>
      <w:b/>
      <w:bCs/>
      <w:kern w:val="44"/>
      <w:sz w:val="32"/>
      <w:szCs w:val="32"/>
      <w:lang w:val="en-US" w:eastAsia="zh-CN" w:bidi="ar-SA"/>
    </w:rPr>
  </w:style>
  <w:style w:type="paragraph" w:customStyle="1" w:styleId="26">
    <w:name w:val="CSO-表内容格式"/>
    <w:uiPriority w:val="0"/>
    <w:pPr>
      <w:widowControl w:val="0"/>
      <w:spacing w:line="300" w:lineRule="auto"/>
      <w:jc w:val="center"/>
    </w:pPr>
    <w:rPr>
      <w:rFonts w:ascii="Times New Roman" w:hAnsi="Times New Roman" w:eastAsia="宋体" w:cs="Times New Roman"/>
      <w:sz w:val="18"/>
      <w:szCs w:val="21"/>
      <w:lang w:val="en-US" w:eastAsia="zh-CN" w:bidi="ar-SA"/>
    </w:rPr>
  </w:style>
  <w:style w:type="paragraph" w:customStyle="1" w:styleId="27">
    <w:name w:val="CSO-表题"/>
    <w:uiPriority w:val="0"/>
    <w:pPr>
      <w:adjustRightInd w:val="0"/>
      <w:snapToGrid w:val="0"/>
      <w:spacing w:line="300" w:lineRule="auto"/>
      <w:jc w:val="center"/>
    </w:pPr>
    <w:rPr>
      <w:rFonts w:ascii="Times New Roman" w:hAnsi="Times New Roman" w:eastAsia="宋体" w:cs="宋体"/>
      <w:bCs/>
      <w:sz w:val="18"/>
      <w:szCs w:val="18"/>
      <w:lang w:val="en-US" w:eastAsia="zh-CN" w:bidi="ar-SA"/>
    </w:rPr>
  </w:style>
  <w:style w:type="paragraph" w:customStyle="1" w:styleId="28">
    <w:name w:val="CSO-参考文献内容"/>
    <w:uiPriority w:val="0"/>
    <w:pPr>
      <w:widowControl w:val="0"/>
    </w:pPr>
    <w:rPr>
      <w:rFonts w:ascii="Times New Roman" w:hAnsi="Times New Roman" w:eastAsia="宋体" w:cs="Times New Roman"/>
      <w:sz w:val="18"/>
      <w:szCs w:val="18"/>
      <w:lang w:val="en-US" w:eastAsia="zh-CN" w:bidi="ar-SA"/>
    </w:rPr>
  </w:style>
  <w:style w:type="paragraph" w:customStyle="1" w:styleId="29">
    <w:name w:val="CSO-二级标题"/>
    <w:next w:val="1"/>
    <w:uiPriority w:val="0"/>
    <w:pPr>
      <w:keepNext/>
      <w:widowControl w:val="0"/>
      <w:numPr>
        <w:ilvl w:val="1"/>
        <w:numId w:val="1"/>
      </w:numPr>
      <w:adjustRightInd w:val="0"/>
      <w:spacing w:before="120" w:after="120"/>
      <w:jc w:val="both"/>
      <w:outlineLvl w:val="1"/>
    </w:pPr>
    <w:rPr>
      <w:rFonts w:ascii="Times New Roman" w:hAnsi="Times New Roman" w:eastAsia="宋体" w:cs="Times New Roman"/>
      <w:b/>
      <w:sz w:val="24"/>
      <w:szCs w:val="24"/>
      <w:lang w:val="en-US" w:eastAsia="zh-CN" w:bidi="ar-SA"/>
    </w:rPr>
  </w:style>
  <w:style w:type="paragraph" w:customStyle="1" w:styleId="30">
    <w:name w:val="CSO-化学方程式"/>
    <w:basedOn w:val="1"/>
    <w:uiPriority w:val="0"/>
    <w:pPr>
      <w:tabs>
        <w:tab w:val="center" w:pos="4200"/>
        <w:tab w:val="right" w:pos="8190"/>
      </w:tabs>
      <w:adjustRightInd/>
      <w:snapToGrid/>
      <w:spacing w:line="240" w:lineRule="auto"/>
      <w:jc w:val="left"/>
    </w:pPr>
    <w:rPr>
      <w:rFonts w:cs="宋体"/>
    </w:rPr>
  </w:style>
  <w:style w:type="paragraph" w:customStyle="1" w:styleId="31">
    <w:name w:val="CSO-三级标题"/>
    <w:next w:val="1"/>
    <w:uiPriority w:val="0"/>
    <w:pPr>
      <w:keepNext/>
      <w:widowControl w:val="0"/>
      <w:numPr>
        <w:ilvl w:val="2"/>
        <w:numId w:val="1"/>
      </w:numPr>
      <w:spacing w:beforeLines="50" w:afterLines="50"/>
      <w:jc w:val="both"/>
      <w:outlineLvl w:val="2"/>
    </w:pPr>
    <w:rPr>
      <w:rFonts w:ascii="Times New Roman" w:hAnsi="Times New Roman" w:eastAsia="宋体" w:cs="Times New Roman"/>
      <w:b/>
      <w:bCs/>
      <w:sz w:val="21"/>
      <w:szCs w:val="21"/>
      <w:lang w:val="en-US" w:eastAsia="zh-CN" w:bidi="ar-SA"/>
    </w:rPr>
  </w:style>
  <w:style w:type="paragraph" w:customStyle="1" w:styleId="32">
    <w:name w:val="CSO-数学公式"/>
    <w:uiPriority w:val="0"/>
    <w:pPr>
      <w:tabs>
        <w:tab w:val="center" w:pos="4200"/>
        <w:tab w:val="right" w:pos="8190"/>
      </w:tabs>
    </w:pPr>
    <w:rPr>
      <w:rFonts w:ascii="Times New Roman" w:hAnsi="Times New Roman" w:eastAsia="宋体" w:cs="宋体"/>
      <w:i/>
      <w:sz w:val="21"/>
      <w:szCs w:val="21"/>
      <w:lang w:val="en-US" w:eastAsia="zh-CN" w:bidi="ar-SA"/>
    </w:rPr>
  </w:style>
  <w:style w:type="paragraph" w:customStyle="1" w:styleId="33">
    <w:name w:val="CSO-数字符号"/>
    <w:basedOn w:val="1"/>
    <w:uiPriority w:val="0"/>
    <w:pPr>
      <w:tabs>
        <w:tab w:val="left" w:pos="360"/>
      </w:tabs>
      <w:snapToGrid/>
      <w:ind w:left="240" w:hanging="240"/>
      <w:jc w:val="left"/>
    </w:pPr>
    <w:rPr>
      <w:rFonts w:cs="宋体"/>
    </w:rPr>
  </w:style>
  <w:style w:type="paragraph" w:customStyle="1" w:styleId="34">
    <w:name w:val="CSO-图题"/>
    <w:uiPriority w:val="0"/>
    <w:pPr>
      <w:adjustRightInd w:val="0"/>
      <w:snapToGrid w:val="0"/>
      <w:spacing w:line="300" w:lineRule="auto"/>
      <w:jc w:val="center"/>
    </w:pPr>
    <w:rPr>
      <w:rFonts w:ascii="Times New Roman" w:hAnsi="Times New Roman" w:eastAsia="宋体" w:cs="Times New Roman"/>
      <w:sz w:val="18"/>
      <w:szCs w:val="21"/>
      <w:lang w:val="en-US" w:eastAsia="zh-CN" w:bidi="ar-SA"/>
    </w:rPr>
  </w:style>
  <w:style w:type="paragraph" w:customStyle="1" w:styleId="35">
    <w:name w:val="CSO-项目符号"/>
    <w:basedOn w:val="1"/>
    <w:uiPriority w:val="0"/>
    <w:pPr>
      <w:tabs>
        <w:tab w:val="left" w:pos="360"/>
      </w:tabs>
      <w:snapToGrid/>
      <w:ind w:left="240" w:hanging="240"/>
      <w:jc w:val="left"/>
    </w:pPr>
    <w:rPr>
      <w:rFonts w:cs="宋体"/>
    </w:rPr>
  </w:style>
  <w:style w:type="paragraph" w:customStyle="1" w:styleId="36">
    <w:name w:val="CSO-项目资助"/>
    <w:uiPriority w:val="0"/>
    <w:pPr>
      <w:widowControl w:val="0"/>
      <w:adjustRightInd w:val="0"/>
      <w:snapToGrid w:val="0"/>
    </w:pPr>
    <w:rPr>
      <w:rFonts w:ascii="Times New Roman" w:hAnsi="Times New Roman" w:eastAsia="宋体" w:cs="Times New Roman"/>
      <w:sz w:val="18"/>
      <w:szCs w:val="18"/>
      <w:lang w:val="en-US" w:eastAsia="zh-CN" w:bidi="ar-SA"/>
    </w:rPr>
  </w:style>
  <w:style w:type="paragraph" w:customStyle="1" w:styleId="37">
    <w:name w:val="CSO-一级标题"/>
    <w:next w:val="1"/>
    <w:uiPriority w:val="0"/>
    <w:pPr>
      <w:keepNext/>
      <w:widowControl w:val="0"/>
      <w:numPr>
        <w:ilvl w:val="0"/>
        <w:numId w:val="1"/>
      </w:numPr>
      <w:tabs>
        <w:tab w:val="left" w:pos="360"/>
        <w:tab w:val="clear" w:pos="357"/>
      </w:tabs>
      <w:spacing w:beforeLines="50" w:afterLines="50"/>
      <w:jc w:val="both"/>
      <w:outlineLvl w:val="0"/>
    </w:pPr>
    <w:rPr>
      <w:rFonts w:ascii="Times New Roman" w:hAnsi="Times New Roman" w:eastAsia="宋体" w:cs="宋体"/>
      <w:b/>
      <w:bCs/>
      <w:sz w:val="28"/>
      <w:lang w:val="en-US" w:eastAsia="zh-CN" w:bidi="ar-SA"/>
    </w:rPr>
  </w:style>
  <w:style w:type="paragraph" w:customStyle="1" w:styleId="38">
    <w:name w:val="CSO-正文"/>
    <w:uiPriority w:val="0"/>
    <w:pPr>
      <w:widowControl w:val="0"/>
      <w:adjustRightInd w:val="0"/>
      <w:spacing w:line="300" w:lineRule="auto"/>
      <w:ind w:firstLine="420" w:firstLineChars="200"/>
    </w:pPr>
    <w:rPr>
      <w:rFonts w:ascii="Times New Roman" w:hAnsi="Times New Roman" w:eastAsia="宋体" w:cs="Times New Roman"/>
      <w:sz w:val="21"/>
      <w:szCs w:val="21"/>
      <w:lang w:val="en-US" w:eastAsia="zh-CN" w:bidi="ar-SA"/>
    </w:rPr>
  </w:style>
  <w:style w:type="paragraph" w:customStyle="1" w:styleId="39">
    <w:name w:val="CSO-正文隐藏"/>
    <w:basedOn w:val="1"/>
    <w:uiPriority w:val="0"/>
    <w:pPr>
      <w:snapToGrid/>
    </w:pPr>
  </w:style>
  <w:style w:type="paragraph" w:customStyle="1" w:styleId="40">
    <w:name w:val="CSO-中图分类号码"/>
    <w:uiPriority w:val="0"/>
    <w:pPr>
      <w:widowControl w:val="0"/>
      <w:adjustRightInd w:val="0"/>
      <w:spacing w:line="300" w:lineRule="auto"/>
      <w:jc w:val="both"/>
    </w:pPr>
    <w:rPr>
      <w:rFonts w:ascii="Times New Roman" w:hAnsi="Times New Roman" w:eastAsia="宋体" w:cs="Times New Roman"/>
      <w:sz w:val="21"/>
      <w:szCs w:val="21"/>
      <w:lang w:val="en-US" w:eastAsia="zh-CN" w:bidi="ar-SA"/>
    </w:rPr>
  </w:style>
  <w:style w:type="character" w:customStyle="1" w:styleId="41">
    <w:name w:val="CSO-中文“关键词”"/>
    <w:uiPriority w:val="0"/>
    <w:rPr>
      <w:rFonts w:eastAsia="黑体"/>
      <w:sz w:val="21"/>
    </w:rPr>
  </w:style>
  <w:style w:type="character" w:customStyle="1" w:styleId="42">
    <w:name w:val="CSO-中文“摘要”"/>
    <w:uiPriority w:val="0"/>
    <w:rPr>
      <w:rFonts w:ascii="Times New Roman" w:hAnsi="Times New Roman" w:eastAsia="黑体"/>
      <w:sz w:val="21"/>
      <w:szCs w:val="21"/>
    </w:rPr>
  </w:style>
  <w:style w:type="paragraph" w:customStyle="1" w:styleId="43">
    <w:name w:val="CSO-中文Email"/>
    <w:uiPriority w:val="0"/>
    <w:pPr>
      <w:widowControl w:val="0"/>
      <w:jc w:val="center"/>
    </w:pPr>
    <w:rPr>
      <w:rFonts w:ascii="Times New Roman" w:hAnsi="Times New Roman" w:eastAsia="Times New Roman" w:cs="Times New Roman"/>
      <w:sz w:val="18"/>
      <w:szCs w:val="21"/>
      <w:lang w:val="en-US" w:eastAsia="zh-CN" w:bidi="ar-SA"/>
    </w:rPr>
  </w:style>
  <w:style w:type="paragraph" w:customStyle="1" w:styleId="44">
    <w:name w:val="CSO-中文单位"/>
    <w:uiPriority w:val="0"/>
    <w:pPr>
      <w:widowControl w:val="0"/>
      <w:adjustRightInd w:val="0"/>
      <w:jc w:val="center"/>
    </w:pPr>
    <w:rPr>
      <w:rFonts w:ascii="Times New Roman" w:hAnsi="Times New Roman" w:eastAsia="楷体" w:cs="Times New Roman"/>
      <w:sz w:val="21"/>
      <w:szCs w:val="21"/>
      <w:lang w:val="en-US" w:eastAsia="zh-CN" w:bidi="ar-SA"/>
    </w:rPr>
  </w:style>
  <w:style w:type="paragraph" w:customStyle="1" w:styleId="45">
    <w:name w:val="CSO-中文关键词"/>
    <w:uiPriority w:val="0"/>
    <w:pPr>
      <w:widowControl w:val="0"/>
      <w:adjustRightInd w:val="0"/>
      <w:spacing w:line="300" w:lineRule="auto"/>
      <w:jc w:val="both"/>
    </w:pPr>
    <w:rPr>
      <w:rFonts w:ascii="Times New Roman" w:hAnsi="Times New Roman" w:eastAsia="宋体" w:cs="Times New Roman"/>
      <w:sz w:val="21"/>
      <w:szCs w:val="21"/>
      <w:lang w:val="en-US" w:eastAsia="zh-CN" w:bidi="ar-SA"/>
    </w:rPr>
  </w:style>
  <w:style w:type="paragraph" w:customStyle="1" w:styleId="46">
    <w:name w:val="CSO-中文题目"/>
    <w:uiPriority w:val="0"/>
    <w:pPr>
      <w:widowControl w:val="0"/>
      <w:snapToGrid w:val="0"/>
      <w:spacing w:beforeLines="50" w:afterLines="50"/>
      <w:jc w:val="center"/>
    </w:pPr>
    <w:rPr>
      <w:rFonts w:ascii="黑体" w:hAnsi="黑体" w:eastAsia="黑体" w:cs="Times New Roman"/>
      <w:sz w:val="44"/>
      <w:szCs w:val="36"/>
      <w:lang w:val="en-US" w:eastAsia="zh-CN" w:bidi="ar-SA"/>
    </w:rPr>
  </w:style>
  <w:style w:type="paragraph" w:customStyle="1" w:styleId="47">
    <w:name w:val="CSO-中文摘要内容"/>
    <w:uiPriority w:val="0"/>
    <w:pPr>
      <w:widowControl w:val="0"/>
      <w:adjustRightInd w:val="0"/>
      <w:spacing w:line="300" w:lineRule="auto"/>
      <w:jc w:val="both"/>
    </w:pPr>
    <w:rPr>
      <w:rFonts w:ascii="Times New Roman" w:hAnsi="Times New Roman" w:eastAsia="宋体" w:cs="Times New Roman"/>
      <w:sz w:val="21"/>
      <w:szCs w:val="21"/>
      <w:lang w:val="en-US" w:eastAsia="zh-CN" w:bidi="ar-SA"/>
    </w:rPr>
  </w:style>
  <w:style w:type="paragraph" w:customStyle="1" w:styleId="48">
    <w:name w:val="CSO-中文作者"/>
    <w:uiPriority w:val="0"/>
    <w:pPr>
      <w:widowControl w:val="0"/>
      <w:jc w:val="center"/>
    </w:pPr>
    <w:rPr>
      <w:rFonts w:ascii="Times New Roman" w:hAnsi="Times New Roman" w:eastAsia="宋体" w:cs="Times New Roman"/>
      <w:sz w:val="24"/>
      <w:szCs w:val="24"/>
      <w:lang w:val="en-US" w:eastAsia="en-US" w:bidi="ar-SA"/>
    </w:rPr>
  </w:style>
  <w:style w:type="paragraph" w:customStyle="1" w:styleId="49">
    <w:name w:val="CSO-表注"/>
    <w:uiPriority w:val="0"/>
    <w:pPr>
      <w:ind w:firstLine="360"/>
    </w:pPr>
    <w:rPr>
      <w:rFonts w:ascii="Times New Roman" w:hAnsi="Times New Roman" w:eastAsia="宋体" w:cs="Times New Roman"/>
      <w:sz w:val="18"/>
      <w:szCs w:val="18"/>
      <w:lang w:val="en-US" w:eastAsia="zh-CN" w:bidi="ar-SA"/>
    </w:rPr>
  </w:style>
  <w:style w:type="character" w:customStyle="1" w:styleId="50">
    <w:name w:val="正文文本 Char"/>
    <w:link w:val="6"/>
    <w:uiPriority w:val="0"/>
    <w:rPr>
      <w:kern w:val="2"/>
      <w:sz w:val="21"/>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9" Type="http://schemas.openxmlformats.org/officeDocument/2006/relationships/numbering" Target="numbering.xml"/><Relationship Id="rId8" Type="http://schemas.openxmlformats.org/officeDocument/2006/relationships/customXml" Target="../customXml/item1.xml"/><Relationship Id="rId7" Type="http://schemas.openxmlformats.org/officeDocument/2006/relationships/theme" Target="theme/theme1.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3" Type="http://schemas.openxmlformats.org/officeDocument/2006/relationships/fontTable" Target="fontTable.xml"/><Relationship Id="rId12" Type="http://schemas.microsoft.com/office/2006/relationships/keyMapCustomizations" Target="customizations.xml"/><Relationship Id="rId11" Type="http://schemas.microsoft.com/office/2006/relationships/vbaProject" Target="vbaProject.bin"/><Relationship Id="rId10" Type="http://schemas.openxmlformats.org/officeDocument/2006/relationships/customXml" Target="../customXml/item2.xml"/><Relationship Id="rId1" Type="http://schemas.openxmlformats.org/officeDocument/2006/relationships/styles" Target="styles.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7" Type="http://schemas.openxmlformats.org/officeDocument/2006/relationships/font" Target="fonts/font7.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ops>
  <customShpExts>
    <customShpInfo spid="_x0000_s2054"/>
  </customShpExts>
</s:customData>
</file>

<file path=customXml/item2.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CCBCF260-ADBE-4E7A-B9A7-7F17A28EA509}">
  <ds:schemaRefs/>
</ds:datastoreItem>
</file>

<file path=docProps/app.xml><?xml version="1.0" encoding="utf-8"?>
<Properties xmlns="http://schemas.openxmlformats.org/officeDocument/2006/extended-properties" xmlns:vt="http://schemas.openxmlformats.org/officeDocument/2006/docPropsVTypes">
  <Template>Normal.dotm</Template>
  <Company>earth</Company>
  <Pages>2</Pages>
  <Words>272</Words>
  <Characters>1556</Characters>
  <Lines>12</Lines>
  <Paragraphs>3</Paragraphs>
  <TotalTime>496</TotalTime>
  <ScaleCrop>false</ScaleCrop>
  <LinksUpToDate>false</LinksUpToDate>
  <CharactersWithSpaces>1825</CharactersWithSpaces>
  <Application>WPS Office_12.1.0.16250_F1E327BC-269C-435d-A152-05C5408002CA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2016-03-16T07:59:00Z</dcterms:created>
  <dc:creator>WANG Yong-Xian</dc:creator>
  <cp:lastModifiedBy>上智了心</cp:lastModifiedBy>
  <cp:lastPrinted>2009-12-16T03:19:00Z</cp:lastPrinted>
  <dcterms:modified xsi:type="dcterms:W3CDTF">2026-10-30T10:19:44Z</dcterms:modified>
  <dc:title>中国科技论文在线中文稿件模板</dc:title>
  <cp:revision>98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2052-12.1.0.16250</vt:lpwstr>
  </property>
  <property fmtid="{D5CDD505-2E9C-101B-9397-08002B2CF9AE}" pid="3" name="ICV">
    <vt:lpwstr>8141788AB88C4780AA888D59B7202CC4_12</vt:lpwstr>
  </property>
</Properties>
</file>