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Inter" w:cs="Inter" w:eastAsia="Inter" w:hAnsi="Inter"/>
          <w:b/>
          <w:bCs/>
          <w:caps/>
          <w:color w:val="D9A441"/>
          <w:spacing w:val="30"/>
          <w:sz w:val="20"/>
          <w:szCs w:val="20"/>
        </w:rPr>
        <w:t xml:space="preserve">Matriz de governança e indicadores</w:t>
      </w:r>
    </w:p>
    <w:p>
      <w:pPr>
        <w:spacing w:after="0" w:before="240"/>
      </w:pPr>
      <w:r>
        <w:rPr>
          <w:rFonts w:ascii="Inter" w:cs="Inter" w:eastAsia="Inter" w:hAnsi="Inter"/>
          <w:b/>
          <w:bCs/>
          <w:color w:val="14142B"/>
          <w:sz w:val="52"/>
          <w:szCs w:val="52"/>
        </w:rPr>
        <w:t xml:space="preserve">CFA/CRAs</w:t>
      </w:r>
    </w:p>
    <w:p>
      <w:pPr>
        <w:pBdr>
          <w:left w:val="single" w:color="D9A441" w:sz="28" w:space="16"/>
        </w:pBdr>
        <w:spacing w:after="0" w:before="26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28"/>
          <w:szCs w:val="28"/>
        </w:rPr>
        <w:t xml:space="preserve">O que não é medido nacionalmente, não pode ser supervisionado nacionalmente.</w:t>
      </w:r>
    </w:p>
    <w:p>
      <w:pPr>
        <w:spacing w:after="40" w:before="1400"/>
      </w:pPr>
      <w:r>
        <w:rPr>
          <w:rFonts w:ascii="Inter" w:cs="Inter" w:eastAsia="Inter" w:hAnsi="Inter"/>
          <w:b/>
          <w:bCs/>
          <w:caps/>
          <w:color w:val="14142B"/>
          <w:spacing w:val="10"/>
          <w:sz w:val="20"/>
          <w:szCs w:val="20"/>
        </w:rPr>
        <w:t xml:space="preserve">Programa Nacional de Transformação Digital e Governança Integrada do Sistema CFA/CRAs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Projeto de Pesquisa Aplicada para Inovação Incremental, Padronização de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Processos e Gestão de Relacionamento Institucional</w:t>
      </w:r>
    </w:p>
    <w:p>
      <w:r>
        <w:br w:type="page"/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1. Papel desta matriz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Esta matriz consolida os indicadores que sustentam a supervisão nacional do CFA sobre o Sistema CFA/CRAs, em resposta direta às exigências do Acórdão 309/2026 do TCU quanto a indicadores nacionais consistentes e supervisão federativa efetiva. Cada indicador tem dono, unidade de medida e frequência de apuração definidos, e todos alimentam o mesmo painel nacional.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2. Indicadores nacionais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Indicadores de visão sistêmica, consolidados a partir dos dados de todos os CRAs participantes, usados pelo CFA para acompanhar a saúde geral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Indicador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Unidade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Tempo médio nacional de atendimento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Horas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demandas resolvidas por automação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Índice de maturidade médio do sistema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Escala 0 a 100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Trimestral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CRAs aderentes aos padrões mínimos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Trimestral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3. Indicadores por CRA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Os mesmos indicadores nacionais, desagregados por Regional, permitem ao CFA comparar desempenho entre CRAs e direcionar apoio técnico prioritário aos que mais precisam, sem necessidade de intervenção administrativa direta.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Indicador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Unidade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Tempo médio de atendimento por CRA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Horas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Volume de demandas por canal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Índice de maturidade por CRA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Escala 0 a 100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Trimestral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Aderência aos fluxos padronizados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4. Indicadores de atendimento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Indicador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Unidade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Tempo médio de primeira resposta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Minutos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Taxa de resolução no primeiro contato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escalonamento ao atendimento humano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Satisfação do registrado (pesquisa pós-atendimento)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Escala 1 a 5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5. Indicadores de fiscalização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Indicador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Unidade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Tempo médio de tramitação de processo fiscalizatório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Dias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processos dentro do prazo regulamentar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Volume de processos por estágio de tramitação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6. Indicadores de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Indicador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Unidade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Tempo médio de emissão de certidões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Horas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inscrições concluídas sem retrabalho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Volume de registros ativos por CRA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Trimestral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7. Indicadores de relacionamento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Indicador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Unidade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Volume de interações por canal (GRI)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Taxa de reincidência de demandas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Índice de satisfação institucional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Escala 1 a 5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Trimestral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8. Indicadores de transformação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rPr>
          <w:tblHeader/>
        </w:trP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Indicador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Unidade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2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aps/>
                <w:color w:val="FFFFFF"/>
                <w:spacing w:val="8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processos críticos padronizados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Trimestral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Percentual de CRAs com GRI em operação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%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Trimestral</w:t>
            </w:r>
          </w:p>
        </w:tc>
      </w:tr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Evolução do índice de maturidade tecnológica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Escala 0 a 100</w:t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line="270"/>
              <w:jc w:val="both"/>
            </w:pP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Trimestral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9. Painel nacional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Todos os indicadores desta matriz alimentam um painel nacional único, acessível ao CFA e a cada CRA quanto aos seus próprios dados, com visão comparativa entre Regionais. O painel é a peça central de resposta ao Acórdão 309/2026 no que se refere à supervisão efetiva e à consolidação de indicadores nacionais consistentes.</w:t>
      </w:r>
    </w:p>
    <w:p>
      <w:pPr>
        <w:pBdr>
          <w:left w:val="single" w:color="14142B" w:sz="28" w:space="16"/>
        </w:pBdr>
        <w:shd w:fill="F7F3EA" w:val="clear"/>
        <w:spacing w:after="0" w:before="200"/>
        <w:ind w:left="320"/>
      </w:pPr>
      <w:r>
        <w:rPr>
          <w:rFonts w:ascii="Inter" w:cs="Inter" w:eastAsia="Inter" w:hAnsi="Inter"/>
          <w:b/>
          <w:bCs/>
          <w:caps/>
          <w:color w:val="14142B"/>
          <w:spacing w:val="20"/>
          <w:sz w:val="16"/>
          <w:szCs w:val="16"/>
        </w:rPr>
        <w:t xml:space="preserve">Uso pretendido do painel</w:t>
      </w:r>
    </w:p>
    <w:p>
      <w:pPr>
        <w:pBdr>
          <w:left w:val="single" w:color="14142B" w:sz="28" w:space="16"/>
        </w:pBdr>
        <w:shd w:fill="F7F3EA" w:val="clear"/>
        <w:spacing w:after="280" w:before="60" w:line="300"/>
        <w:ind w:left="320"/>
        <w:jc w:val="both"/>
      </w:pPr>
      <w:r>
        <w:rPr>
          <w:rFonts w:ascii="Inter" w:cs="Inter" w:eastAsia="Inter" w:hAnsi="Inter"/>
          <w:i/>
          <w:iCs/>
          <w:color w:val="3A3A3A"/>
          <w:sz w:val="22"/>
          <w:szCs w:val="22"/>
        </w:rPr>
        <w:t xml:space="preserve">O painel nacional não existe para expor ou penalizar CRAs. Existe para que o CFA identifique, com evidência, onde o apoio técnico é mais necessário e para que cada CRA acompanhe sua própria evolução ao longo do programa.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10. Governança de dados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governança de dados do programa segue os princípios de minimização, finalidade e segregação de acesso da Lei Geral de Proteção de Dados. Cada interação registrada no GRI recebe log completo de data, hora, canal, responsável, classificação da demanda e status de resolução, assegurando rastreabilidade e suporte à prestação de contas, sem exposição de dados pessoais além do estritamente necessário à operação do serviço.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Acesso segregado por perfil: cada CRA acessa integralmente seus próprios dados e, de forma agregada, os indicadores comparativos nacionais.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Auditoria periódica dos logs de interação, incluindo as decisões tomadas por automação e por atendimento humano.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Política de retenção de dados alinhada aos prazos legais de guarda documental de cada tipo de processo.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Revisão anual dos critérios de classificação de risco e de escalonamento da inteligência artificial.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8A8A"/>
        <w:sz w:val="15"/>
        <w:szCs w:val="15"/>
      </w:rPr>
      <w:t xml:space="preserve">Traevo  ·  </w:t>
    </w:r>
    <w:r>
      <w:rPr>
        <w:rFonts w:ascii="Inter" w:cs="Inter" w:eastAsia="Inter" w:hAnsi="Inter"/>
        <w:color w:val="8A8A8A"/>
        <w:sz w:val="15"/>
        <w:szCs w:val="15"/>
      </w:rPr>
      <w:t xml:space="preserve">Página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8A8A8A"/>
        <w:sz w:val="15"/>
        <w:szCs w:val="15"/>
      </w:rPr>
      <w:t xml:space="preserve"> de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aps/>
        <w:color w:val="8A8A8A"/>
        <w:spacing w:val="10"/>
        <w:sz w:val="15"/>
        <w:szCs w:val="15"/>
      </w:rPr>
      <w:t xml:space="preserve">TRAEVO GOVTECH  ·  PROGRAMA CFA/CRAS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2026-08-04T00:10:55.166Z</dcterms:created>
  <dcterms:modified xsi:type="dcterms:W3CDTF">2026-08-04T00:10:55.167Z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