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Inter" w:cs="Inter" w:eastAsia="Inter" w:hAnsi="Inter"/>
          <w:b/>
          <w:bCs/>
          <w:caps/>
          <w:color w:val="D9A441"/>
          <w:spacing w:val="30"/>
          <w:sz w:val="20"/>
          <w:szCs w:val="20"/>
        </w:rPr>
        <w:t xml:space="preserve">Termo de referência / plano de cooperação</w:t>
      </w:r>
    </w:p>
    <w:p>
      <w:pPr>
        <w:spacing w:after="0" w:before="240"/>
      </w:pPr>
      <w:r>
        <w:rPr>
          <w:rFonts w:ascii="Inter" w:cs="Inter" w:eastAsia="Inter" w:hAnsi="Inter"/>
          <w:b/>
          <w:bCs/>
          <w:color w:val="14142B"/>
          <w:sz w:val="52"/>
          <w:szCs w:val="52"/>
        </w:rPr>
        <w:t xml:space="preserve">CFA/CRAs</w:t>
      </w:r>
    </w:p>
    <w:p>
      <w:pPr>
        <w:pBdr>
          <w:left w:val="single" w:color="D9A441" w:sz="28" w:space="16"/>
        </w:pBdr>
        <w:spacing w:after="0" w:before="260"/>
        <w:ind w:left="320"/>
      </w:pPr>
      <w:r>
        <w:rPr>
          <w:rFonts w:ascii="Inter" w:cs="Inter" w:eastAsia="Inter" w:hAnsi="Inter"/>
          <w:b/>
          <w:bCs/>
          <w:i/>
          <w:iCs/>
          <w:color w:val="14142B"/>
          <w:sz w:val="28"/>
          <w:szCs w:val="28"/>
        </w:rPr>
        <w:t xml:space="preserve">O modelo jurídico segue a decisão institucional do CFA, não o contrário.</w:t>
      </w:r>
    </w:p>
    <w:p>
      <w:pPr>
        <w:spacing w:after="40" w:before="1400"/>
      </w:pPr>
      <w:r>
        <w:rPr>
          <w:rFonts w:ascii="Inter" w:cs="Inter" w:eastAsia="Inter" w:hAnsi="Inter"/>
          <w:b/>
          <w:bCs/>
          <w:caps/>
          <w:color w:val="14142B"/>
          <w:spacing w:val="10"/>
          <w:sz w:val="20"/>
          <w:szCs w:val="20"/>
        </w:rPr>
        <w:t xml:space="preserve">Programa Nacional de Transformação Digital e Governança Integrada do Sistema CFA/CRAs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Projeto de Pesquisa Aplicada para Inovação Incremental, Padronização de</w:t>
      </w:r>
    </w:p>
    <w:p>
      <w:pPr>
        <w:spacing w:after="40"/>
      </w:pPr>
      <w:r>
        <w:rPr>
          <w:rFonts w:ascii="Inter" w:cs="Inter" w:eastAsia="Inter" w:hAnsi="Inter"/>
          <w:color w:val="8A8A8A"/>
          <w:sz w:val="20"/>
          <w:szCs w:val="20"/>
        </w:rPr>
        <w:t xml:space="preserve">Processos e Gestão de Relacionamento Institucional</w:t>
      </w:r>
    </w:p>
    <w:p>
      <w:r>
        <w:br w:type="page"/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Nota preliminar sobre o modelo jurídico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Este documento pode ser formalizado como Termo de Referência, no caso de contratação direta de serviços técnicos especializados, ou como Plano de Cooperação Técnica, no caso de parceria institucional entre o CFA e a Traevo. A escolha do instrumento cabe ao CFA, conforme o modelo jurídico e orçamentário que melhor se adeque à sua estrutura de governança. As cláusulas abaixo são apresentadas de forma neutra a esse respeito, servindo de base para adaptação ao instrumento final escolhido.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1. Objeto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Constitui objeto deste instrumento a prestação de serviços técnicos especializados para o desenvolvimento, a validação e a implantação do Programa Nacional de Transformação Digital e Governança Integrada do Sistema CFA/CRAs, compreendendo diagnóstico de processos, padronização de fluxos críticos, implantação de plataforma de Gestão de Relacionamento Institucional (GRI) com inteligência artificial aplicada, estruturação de indicadores nacionais e transferência de metodologia replicável ao CFA e aos Conselhos Regionais participantes.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2. Escopo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escopo compreende as quatro fases do Método Vértice (Diagnóstico, Arquitetura, Execução e Validação), aplicadas em ondas sucessivas de implantação conforme detalhado no Plano de Implantação CFA/CRAs, e a estruturação da Matriz de Governança e Indicadores. Não integra o escopo a substituição de decisões de mérito, pareceres jurídicos, processos éticos ou deliberações de colegiados, que permanecem, em qualquer etapa, sob responsabilidade exclusiva do CFA e dos CRAs.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3. Entregáveis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1.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Dossiê de diagnóstico e maturidade por CRA participante.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2.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Modelo nacional de padrões mínimos para processos críticos.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3.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Plataforma de Gestão de Relacionamento Institucional (GRI) configurada e em operação.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4.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Matriz de Governança e Indicadores, com painel nacional comparável entre Regionais.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5.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Relatórios de validação por onda de implantação.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6.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Documentação da metodologia consolidada e transferível ao CFA.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40"/>
              <w:bottom w:type="dxa" w:w="14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7.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Material de capacitação por setor e função para as equipes do CFA e dos CRAs.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4. Obrigações das partes</w:t>
      </w:r>
    </w:p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Obrigações do CFA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Designar interlocutor institucional responsável pelo acompanhamento do programa.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Aprovar os padrões mínimos nacionais propostos após validação técnica.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Viabilizar o acesso da equipe técnica da Traevo às informações necessárias ao diagnóstico.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Participar do comitê gestor e decidir sobre a entrada de novas ondas de implantação.</w:t>
            </w:r>
          </w:p>
        </w:tc>
      </w:tr>
    </w:tbl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Obrigações dos CRAs participantes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Designar equipe local para acompanhar o diagnóstico e a implantação.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Disponibilizar acesso às plataformas e processos necessários ao diagnóstico.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Participar da capacitação e homologar os fluxos validados em sua unidade.</w:t>
            </w:r>
          </w:p>
        </w:tc>
      </w:tr>
    </w:tbl>
    <w:p>
      <w:pPr>
        <w:pStyle w:val="Heading2"/>
        <w:spacing w:after="140" w:before="320"/>
      </w:pPr>
      <w:r>
        <w:rPr>
          <w:rFonts w:ascii="Inter" w:cs="Inter" w:eastAsia="Inter" w:hAnsi="Inter"/>
          <w:b/>
          <w:bCs/>
          <w:color w:val="14142B"/>
          <w:sz w:val="24"/>
          <w:szCs w:val="24"/>
        </w:rPr>
        <w:t xml:space="preserve">Obrigações da Traevo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Conduzir o diagnóstico, a arquitetura, a execução e a validação de cada onda de implantação.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Entregar a documentação da metodologia em formato transferível ao CFA.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3E3E3" w:sz="3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Prestar suporte técnico dedicado durante a fase de sustentação de cada onda concluída.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line="290"/>
              <w:jc w:val="both"/>
            </w:pPr>
            <w:r>
              <w:rPr>
                <w:rFonts w:ascii="Inter" w:cs="Inter" w:eastAsia="Inter" w:hAnsi="Inter"/>
                <w:b/>
                <w:bCs/>
                <w:color w:val="D9A441"/>
                <w:sz w:val="21"/>
                <w:szCs w:val="21"/>
              </w:rPr>
              <w:t xml:space="preserve">→  </w:t>
            </w:r>
            <w:r>
              <w:rPr>
                <w:rFonts w:ascii="Inter" w:cs="Inter" w:eastAsia="Inter" w:hAnsi="Inter"/>
                <w:color w:val="3A3A3A"/>
                <w:sz w:val="21"/>
                <w:szCs w:val="21"/>
              </w:rPr>
              <w:t xml:space="preserve">Reportar periodicamente o andamento do programa ao comitê gestor.</w:t>
            </w:r>
          </w:p>
        </w:tc>
      </w:tr>
    </w:tbl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5. Comitê gestor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comitê gestor é composto por representantes do CFA, dos CRAs participantes da onda em curso e da Traevo, e se reúne com periodicidade definida em conjunto para acompanhar indicadores, validar a passagem entre núcleos do Método Vértice, aprovar a entrada de novas ondas e decidir sobre eventuais ajustes de escopo. As decisões de mérito técnico permanecem sob responsabilidade da equipe executora; as decisões institucionais e de governança permanecem sob responsabilidade do CFA.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6. Propriedade intelectual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metodologia proprietária da Traevo, incluindo o Método Vértice e as Conexões Inteligentes, permanece de titularidade da Traevo. Os produtos específicos desenvolvidos para o Sistema CFA/CRAs no âmbito deste programa, incluindo padrões nacionais definidos, fluxos redesenhados e documentação da metodologia aplicada, são de uso do CFA e dos CRAs participantes, para fins de continuidade e replicação interna do programa.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7. Sustentação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Concluída a validação de cada onda, o CRA participante entra em regime de acompanhamento mensal com suporte técnico dedicado da Traevo, conforme condições específicas a serem pactuadas para essa fase, distintas das condições da fase de implantação.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8. Transferência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transferência metodológica ao CFA ocorre de forma progressiva, com redução gradual do suporte técnico direto da Traevo à medida que as equipes internas do CFA e dos CRAs assumem a condução de novas ondas de implantação, sempre com base na documentação consolidada entregue ao longo do programa.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9. Prestação de contas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O acompanhamento de execução, indicadores e entregáveis é reportado periodicamente ao comitê gestor e consolidado em relatórios compatíveis com as exigências de transparência e prestação de contas aplicáveis ao CFA, incluindo o suporte documental necessário para eventual acompanhamento pelo Tribunal de Contas da União quanto ao cumprimento do Acórdão 309/2026.</w:t>
      </w:r>
    </w:p>
    <w:p>
      <w:pPr>
        <w:pStyle w:val="Heading1"/>
        <w:pBdr>
          <w:bottom w:val="single" w:color="D9A441" w:sz="8" w:space="4"/>
        </w:pBdr>
        <w:spacing w:after="220" w:before="480"/>
      </w:pPr>
      <w:r>
        <w:rPr>
          <w:rFonts w:ascii="Inter" w:cs="Inter" w:eastAsia="Inter" w:hAnsi="Inter"/>
          <w:b/>
          <w:bCs/>
          <w:color w:val="14142B"/>
        </w:rPr>
        <w:t xml:space="preserve">10. Vigência e condições gerais</w:t>
      </w:r>
    </w:p>
    <w:p>
      <w:pPr>
        <w:spacing w:after="160" w:line="300"/>
        <w:jc w:val="both"/>
      </w:pPr>
      <w:r>
        <w:rPr>
          <w:rFonts w:ascii="Inter" w:cs="Inter" w:eastAsia="Inter" w:hAnsi="Inter"/>
          <w:color w:val="3A3A3A"/>
          <w:sz w:val="22"/>
          <w:szCs w:val="22"/>
        </w:rPr>
        <w:t xml:space="preserve">A vigência, o cronograma físico-financeiro e as condições comerciais específicas deste instrumento são tratados em documento apartado, a ser pactuado entre as partes após a validação institucional do programa pela diretoria do CFA.</w:t>
      </w:r>
    </w:p>
    <w:p>
      <w:pPr>
        <w:pBdr>
          <w:left w:val="single" w:color="14142B" w:sz="28" w:space="16"/>
        </w:pBdr>
        <w:shd w:fill="F7F3EA" w:val="clear"/>
        <w:spacing w:after="0" w:before="200"/>
        <w:ind w:left="320"/>
      </w:pPr>
      <w:r>
        <w:rPr>
          <w:rFonts w:ascii="Inter" w:cs="Inter" w:eastAsia="Inter" w:hAnsi="Inter"/>
          <w:b/>
          <w:bCs/>
          <w:caps/>
          <w:color w:val="14142B"/>
          <w:spacing w:val="20"/>
          <w:sz w:val="16"/>
          <w:szCs w:val="16"/>
        </w:rPr>
        <w:t xml:space="preserve">Sobre este documento</w:t>
      </w:r>
    </w:p>
    <w:p>
      <w:pPr>
        <w:pBdr>
          <w:left w:val="single" w:color="14142B" w:sz="28" w:space="16"/>
        </w:pBdr>
        <w:shd w:fill="F7F3EA" w:val="clear"/>
        <w:spacing w:after="280" w:before="60" w:line="300"/>
        <w:ind w:left="320"/>
        <w:jc w:val="both"/>
      </w:pPr>
      <w:r>
        <w:rPr>
          <w:rFonts w:ascii="Inter" w:cs="Inter" w:eastAsia="Inter" w:hAnsi="Inter"/>
          <w:i/>
          <w:iCs/>
          <w:color w:val="3A3A3A"/>
          <w:sz w:val="22"/>
          <w:szCs w:val="22"/>
        </w:rPr>
        <w:t xml:space="preserve">Este é um modelo de base, redigido para orientar a formalização jurídica do programa. Recomenda-se revisão pela assessoria jurídica do CFA antes de qualquer assinatura, especialmente quanto ao instrumento final escolhido e às cláusulas orçamentárias.</w:t>
      </w:r>
    </w:p>
    <w:sectPr>
      <w:headerReference w:type="default" r:id="rId7"/>
      <w:footerReference w:type="default" r:id="rId8"/>
      <w:pgSz w:w="12240" w:h="15840" w:orient="portrait"/>
      <w:pgMar w:top="15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8A8A"/>
        <w:sz w:val="15"/>
        <w:szCs w:val="15"/>
      </w:rPr>
      <w:t xml:space="preserve">Traevo  ·  </w:t>
    </w:r>
    <w:r>
      <w:rPr>
        <w:rFonts w:ascii="Inter" w:cs="Inter" w:eastAsia="Inter" w:hAnsi="Inter"/>
        <w:color w:val="8A8A8A"/>
        <w:sz w:val="15"/>
        <w:szCs w:val="15"/>
      </w:rPr>
      <w:t xml:space="preserve">Página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8A8A8A"/>
        <w:sz w:val="15"/>
        <w:szCs w:val="15"/>
      </w:rPr>
      <w:t xml:space="preserve"> de </w:t>
    </w:r>
    <w:r>
      <w:rPr>
        <w:rFonts w:ascii="Inter" w:cs="Inter" w:eastAsia="Inter" w:hAnsi="Inter"/>
        <w:color w:val="8A8A8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aps/>
        <w:color w:val="8A8A8A"/>
        <w:spacing w:val="10"/>
        <w:sz w:val="15"/>
        <w:szCs w:val="15"/>
      </w:rPr>
      <w:t xml:space="preserve">TRAEVO GOVTECH  ·  PROGRAMA CFA/CRAS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2026-08-04T00:11:35.777Z</dcterms:created>
  <dcterms:modified xsi:type="dcterms:W3CDTF">2026-08-04T00:11:35.779Z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