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Inter" w:cs="Inter" w:eastAsia="Inter" w:hAnsi="Inter"/>
          <w:b/>
          <w:bCs/>
          <w:caps/>
          <w:color w:val="D9A441"/>
          <w:spacing w:val="30"/>
          <w:sz w:val="20"/>
          <w:szCs w:val="20"/>
        </w:rPr>
        <w:t xml:space="preserve">Plano de implantação</w:t>
      </w:r>
    </w:p>
    <w:p>
      <w:pPr>
        <w:spacing w:after="0" w:before="240"/>
      </w:pPr>
      <w:r>
        <w:rPr>
          <w:rFonts w:ascii="Inter" w:cs="Inter" w:eastAsia="Inter" w:hAnsi="Inter"/>
          <w:b/>
          <w:bCs/>
          <w:color w:val="14142B"/>
          <w:sz w:val="52"/>
          <w:szCs w:val="52"/>
        </w:rPr>
        <w:t xml:space="preserve">CFA/CRAs</w:t>
      </w:r>
    </w:p>
    <w:p>
      <w:pPr>
        <w:pBdr>
          <w:left w:val="single" w:color="D9A441" w:sz="28" w:space="16"/>
        </w:pBdr>
        <w:spacing w:after="0" w:before="2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28"/>
          <w:szCs w:val="28"/>
        </w:rPr>
        <w:t xml:space="preserve">Ondas controladas em vez de rollout único e simultâneo.</w:t>
      </w:r>
    </w:p>
    <w:p>
      <w:pPr>
        <w:spacing w:after="40" w:before="1400"/>
      </w:pPr>
      <w:r>
        <w:rPr>
          <w:rFonts w:ascii="Inter" w:cs="Inter" w:eastAsia="Inter" w:hAnsi="Inter"/>
          <w:b/>
          <w:bCs/>
          <w:caps/>
          <w:color w:val="14142B"/>
          <w:spacing w:val="10"/>
          <w:sz w:val="20"/>
          <w:szCs w:val="20"/>
        </w:rPr>
        <w:t xml:space="preserve">Programa Nacional de Transformação Digital e Governança Integrada do Sistema CFA/CRAs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Projeto de Pesquisa Aplicada para Inovação Incremental, Padronização de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Processos e Gestão de Relacionamento Institucional</w:t>
      </w:r>
    </w:p>
    <w:p>
      <w:r>
        <w:br w:type="page"/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1. Diagnóstico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Antes de qualquer implantação, cada CRA participante passa por diagnóstico dedicado, seguindo o núcleo de Diagnóstico do Método Vértice. O diagnóstico mapeia os processos como operam de fato, não conforme organogramas ou manuais internos, e produz um índice de maturidade comparável entre Regionais nas dimensões de atendimento, fiscalização, registro e infraestrutura tecnológica.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Dimensão diagnosticada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O que é observado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Atendimento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Canais em uso, tempo médio de resposta, volume de demandas repetitivas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Fiscalização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Fluxo de processos administrativos, prazos, gargalos de tramitação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Registro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Processos de inscrição, cadastro e emissão de certidões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Infraestrutura tecnológica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Plataformas em uso, nível de integração, dependência de processos manuais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2. Pilotos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implantação não ocorre em todos os CRAs simultaneamente. O programa inicia com um piloto restrito a poucos Regionais, escolhidos por critérios objetivos de diagnóstico, para validar o modelo de Gestão de Relacionamento Institucional e os padrões mínimos nacionais antes de qualquer expansão. Somente após a validação do piloto o programa avança para as ondas seguintes.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3. Seleção de CRAs participantes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seleção de CRAs para o piloto e para cada onda subsequente considera critérios técnicos, não apenas disponibilidade ou interesse declarado, para garantir que a metodologia seja testada em cenários representativos da diversidade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Maturidade tecnológica atual, incluindo casos de baixa e de alta maturidade.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Porte do Regional, medido por volume de registrados e estrutura administrativa.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Disponibilidade de equipe técnica e de gestão para acompanhar a implantação.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Representatividade regional, evitando concentração geográfica no piloto.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4. Ondas de implantação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expansão nacional segue em ondas sucessivas, cada uma incorporando os ajustes validados na onda anterior. Isso reduz o risco de propagar falhas de configuração a todo o sistema de uma só vez e permite que a metodologia amadureça antes de alcançar os CRAs de maior complexidade operacional.</w:t>
      </w:r>
    </w:p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Onda 0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Piloto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Validar o modelo de GRI e os padrões mínimos nacionais em grupo reduzido e representativo de CRAs.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Diagnóstico e arquitetura concluídos nos CRAs piloto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GRI em operação e validado nos CRAs piloto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Onda 1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Expansão inicial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Estender a metodologia validada a um grupo maior de CRAs, incorporando os ajustes identificados no piloto.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Padrões nacionais consolidados após ajustes do piloto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GRI em operação no grupo da primeira onda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Onda 2+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Expansão nacional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Completar a cobertura nacional, priorizando os CRAs de maior complexidade ou volume de atendimento por último, quando a metodologia já está consolidada.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Cobertura nacional do modelo de GRI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Metodologia documentada e transferida ao CFA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5. Matriz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040"/>
        <w:gridCol w:w="2040"/>
        <w:gridCol w:w="2040"/>
      </w:tblGrid>
      <w:tr>
        <w:trPr>
          <w:tblHeader/>
        </w:trPr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CFA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CRA participante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Traevo</w:t>
            </w:r>
          </w:p>
        </w:tc>
      </w:tr>
      <w:tr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Definição de padrões mínimos nacionais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Aprova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Contribui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Propõe</w:t>
            </w:r>
          </w:p>
        </w:tc>
      </w:tr>
      <w:tr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Diagnóstico local de processos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Acompanha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Fornece acesso e dados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Executa</w:t>
            </w:r>
          </w:p>
        </w:tc>
      </w:tr>
      <w:tr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Configuração da plataforma e do GRI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Acompanha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Valida operação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Executa</w:t>
            </w:r>
          </w:p>
        </w:tc>
      </w:tr>
      <w:tr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Capacitação das equipes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Apoia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Participa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Conduz</w:t>
            </w:r>
          </w:p>
        </w:tc>
      </w:tr>
      <w:tr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Validação e homologação dos fluxos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Acompanha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Homologa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Facilita</w:t>
            </w:r>
          </w:p>
        </w:tc>
      </w:tr>
      <w:tr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Sustentação pós-implantação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Coordena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Opera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Suporte técnico dedicado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6. Cronograma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cronograma detalhado, com datas específicas por CRA e por onda, é definido em conjunto com o comitê gestor após a validação institucional deste plano, respeitando o ritmo de maturação de cada Regional. Em termos de estrutura, cada onda percorre os quatro núcleos do Método Vértice em sequência, sem sobreposição entre diagnóstico e execução de uma mesma onda.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Etapa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Marco de conclusão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Diagnóstico da onda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Dossiê de vulnerabilidades e maturidade validado pelo CRA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Arquitetura da onda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Padrões e fluxos desenhados aprovados pelo comitê gestor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Execução da onda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GRI em operação, tratando demandas reais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Validação da onda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Fluxos homologados pelas equipes do CRA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7. Capacitação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capacitação segue o modelo das Conexões Inteligentes, com treinamento específico por setor e função, não apenas sobre o uso da ferramenta, mas sobre como pensar o trabalho de forma estruturada dentro do novo modelo. Cada CRA participante recebe onboarding padronizado para novos servidores e curso de sustentação da cultura de colaboração ao final da implantação.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8. Indicadores de acompanhamento da implantação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Percentual de processos diagnosticados concluídos no prazo, por onda.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Percentual de fluxos homologados sem necessidade de retrabalho.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Tempo entre o início do diagnóstico e a validação final, por CRA.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Adesão das equipes ao novo modelo, medida em pesquisa pós-capacitação.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9. Riscos e mitigação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Risco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Resistência das equipes locais à padronização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Capacitação específica por setor e comunicação clara sobre o que permanece sob autonomia do CRA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Heterogeneidade tecnológica entre Regionais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Diagnóstico prévio obrigatório antes de qualquer prescrição de ferramenta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Sobrecarga de equipes técnicas durante a transição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Implantação em ondas, nunca simultânea em todos os CRAs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Qualidade insuficiente da base de conhecimento institucional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Validação de conteúdos oficiais antes da ativação de qualquer automação por IA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Descontinuidade após o fim da fase de execução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Modelo de sustentação com acompanhamento mensal dedicado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10. Modelo de sustentação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Concluída a validação de cada onda, o CRA participante entra em regime de acompanhamento mensal, com calibragem das estruturas desenhadas, análise de novos desafios operacionais e suporte técnico dedicado. Expansões futuras, como novos serviços ou setores, seguem como rodadas adicionais sobre a base já estabelecida, sem necessidade de reiniciar o diagnóstico completo.</w:t>
      </w:r>
    </w:p>
    <w:sectPr>
      <w:headerReference w:type="default" r:id="rId7"/>
      <w:footerReference w:type="default" r:id="rId8"/>
      <w:pgSz w:w="12240" w:h="15840" w:orient="portrait"/>
      <w:pgMar w:top="15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8A8A"/>
        <w:sz w:val="15"/>
        <w:szCs w:val="15"/>
      </w:rPr>
      <w:t xml:space="preserve">Traevo  ·  </w:t>
    </w:r>
    <w:r>
      <w:rPr>
        <w:rFonts w:ascii="Inter" w:cs="Inter" w:eastAsia="Inter" w:hAnsi="Inter"/>
        <w:color w:val="8A8A8A"/>
        <w:sz w:val="15"/>
        <w:szCs w:val="15"/>
      </w:rPr>
      <w:t xml:space="preserve">Página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8A8A8A"/>
        <w:sz w:val="15"/>
        <w:szCs w:val="15"/>
      </w:rPr>
      <w:t xml:space="preserve"> de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aps/>
        <w:color w:val="8A8A8A"/>
        <w:spacing w:val="10"/>
        <w:sz w:val="15"/>
        <w:szCs w:val="15"/>
      </w:rPr>
      <w:t xml:space="preserve">TRAEVO GOVTECH  ·  PROGRAMA CFA/CRAS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2026-08-04T00:10:19.335Z</dcterms:created>
  <dcterms:modified xsi:type="dcterms:W3CDTF">2026-08-04T00:10:19.336Z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