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Inter" w:cs="Inter" w:eastAsia="Inter" w:hAnsi="Inter"/>
          <w:b/>
          <w:bCs/>
          <w:color w:val="14142B"/>
          <w:sz w:val="56"/>
          <w:szCs w:val="56"/>
        </w:rPr>
        <w:t xml:space="preserve">Metodologias Traevo</w:t>
      </w:r>
    </w:p>
    <w:p>
      <w:pPr>
        <w:spacing w:after="100" w:before="26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Método Vértice &amp; Conexões Inteligentes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Traevo trabalha com duas metodologias complementares para conduzir a modernização de uma instituição. O Método Vértice conduz a transformação estrutural, do diagnóstico à validação, e é dentro dele, no núcleo de Execução, que opera o GRI: o ambiente vivo de relacionamento institucional com inteligência artificial aplicada. As Conexões Inteligentes reorganizam a rotina interna e a cultura de comunicação do órgão.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Cada metodologia resolve uma camada diferente da mesma transformação. O Vértice estrutura o que a instituição faz. As Conexões Inteligentes estruturam como as equipes trabalham juntas no dia a dia. As duas se apoiam na mesma base tecnológica e podem ser conduzidas em conjunto ou de forma independente, conforme o momento da instituição.</w:t>
      </w:r>
    </w:p>
    <w:p>
      <w:pPr>
        <w:pBdr>
          <w:left w:val="single" w:color="D9A441" w:sz="28" w:space="16"/>
        </w:pBdr>
        <w:spacing w:after="320" w:before="200"/>
        <w:ind w:left="320"/>
      </w:pPr>
      <w:r>
        <w:rPr>
          <w:rFonts w:ascii="Inter" w:cs="Inter" w:eastAsia="Inter" w:hAnsi="Inter"/>
          <w:b/>
          <w:bCs/>
          <w:i/>
          <w:iCs/>
          <w:color w:val="14142B"/>
          <w:sz w:val="32"/>
          <w:szCs w:val="32"/>
        </w:rPr>
        <w:t xml:space="preserve">Tecnologia é consequência do processo, nunca o seu ponto de partida.</w:t>
      </w:r>
    </w:p>
    <w:p>
      <w:r>
        <w:br w:type="page"/>
      </w:r>
    </w:p>
    <w:p>
      <w:pPr>
        <w:spacing w:after="100" w:before="260"/>
      </w:pPr>
      <w:r>
        <w:rPr>
          <w:rFonts w:ascii="Inter" w:cs="Inter" w:eastAsia="Inter" w:hAnsi="Inter"/>
          <w:b/>
          <w:bCs/>
          <w:caps/>
          <w:color w:val="D9A441"/>
          <w:spacing w:val="20"/>
          <w:sz w:val="16"/>
          <w:szCs w:val="16"/>
        </w:rPr>
        <w:t xml:space="preserve">Método 01 · Estrutural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  <w:sz w:val="40"/>
          <w:szCs w:val="40"/>
        </w:rPr>
        <w:t xml:space="preserve">Método Vértice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Método Vértice une diagnóstico de processos, arquitetura organizacional e prescrição tecnológica em uma jornada estruturada. Começa mapeando a operação real da instituição e termina com ela funcionando com mais clareza, mais critério e um ambiente vivo de relacionamento institucional em operação.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palavra vértice não foi escolhida por acaso: é o ponto onde as linhas se encontram e mudam de direção. É exatamente o que o método representa para quem passa por ele, um antes e um depois que a própria gestão consegue nomear.</w:t>
      </w:r>
    </w:p>
    <w:p>
      <w:pPr>
        <w:pBdr>
          <w:left w:val="single" w:color="D9A441" w:sz="28" w:space="16"/>
        </w:pBdr>
        <w:spacing w:after="320" w:before="200"/>
        <w:ind w:left="320"/>
      </w:pPr>
      <w:r>
        <w:rPr>
          <w:rFonts w:ascii="Inter" w:cs="Inter" w:eastAsia="Inter" w:hAnsi="Inter"/>
          <w:b/>
          <w:bCs/>
          <w:i/>
          <w:iCs/>
          <w:color w:val="14142B"/>
          <w:sz w:val="32"/>
          <w:szCs w:val="32"/>
        </w:rPr>
        <w:t xml:space="preserve">Tecnologia isolada de processo estruturado é desperdício de recurso público. Processo desenhado sem diagnóstico empírico é palpite.</w:t>
      </w:r>
    </w:p>
    <w:p>
      <w:pPr>
        <w:spacing w:after="100" w:before="26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Os quatro núcleos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Cada núcleo leva a instituição ao próximo nível de governança e automação. A ordem importa: um núcleo entrega a base que o seguinte precisa para funcionar.</w:t>
      </w:r>
    </w:p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38"/>
          <w:szCs w:val="38"/>
        </w:rPr>
        <w:t xml:space="preserve">01</w:t>
      </w:r>
      <w:r>
        <w:rPr>
          <w:rFonts w:ascii="Inter" w:cs="Inter" w:eastAsia="Inter" w:hAnsi="Inter"/>
          <w:b/>
          <w:bCs/>
          <w:color w:val="14142B"/>
          <w:sz w:val="25"/>
          <w:szCs w:val="25"/>
        </w:rPr>
        <w:t xml:space="preserve">   Diagnóstico</w:t>
      </w:r>
    </w:p>
    <w:p>
      <w:pPr>
        <w:spacing w:after="160" w:before="100" w:line="295"/>
        <w:jc w:val="both"/>
      </w:pPr>
      <w:r>
        <w:rPr>
          <w:rFonts w:ascii="Inter" w:cs="Inter" w:eastAsia="Inter" w:hAnsi="Inter"/>
          <w:color w:val="3A3A3A"/>
          <w:sz w:val="21"/>
          <w:szCs w:val="21"/>
        </w:rPr>
        <w:t xml:space="preserve">Mapeamento dos processos como operam de fato, não conforme organogramas ou planos ideais. Identificamos com precisão gargalos, pontos de retrabalho manual e o nível real de uso das plataformas já instaladas.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Entregável: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Dossiê de Vulnerabilidades e Eficiência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Foco de ação: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Clareza estrutural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Sintoma da ausência: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decisões tomadas no feeling, ferramentas contratadas que falham em semanas, e a sensação constante de baixa eficiência sem conseguir rastrear onde a operação quebra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38"/>
          <w:szCs w:val="38"/>
        </w:rPr>
        <w:t xml:space="preserve">02</w:t>
      </w:r>
      <w:r>
        <w:rPr>
          <w:rFonts w:ascii="Inter" w:cs="Inter" w:eastAsia="Inter" w:hAnsi="Inter"/>
          <w:b/>
          <w:bCs/>
          <w:color w:val="14142B"/>
          <w:sz w:val="25"/>
          <w:szCs w:val="25"/>
        </w:rPr>
        <w:t xml:space="preserve">   Arquitetura</w:t>
      </w:r>
    </w:p>
    <w:p>
      <w:pPr>
        <w:spacing w:after="160" w:before="100" w:line="295"/>
        <w:jc w:val="both"/>
      </w:pPr>
      <w:r>
        <w:rPr>
          <w:rFonts w:ascii="Inter" w:cs="Inter" w:eastAsia="Inter" w:hAnsi="Inter"/>
          <w:color w:val="3A3A3A"/>
          <w:sz w:val="21"/>
          <w:szCs w:val="21"/>
        </w:rPr>
        <w:t xml:space="preserve">Com as dores expostas, desenhamos o blueprint estrutural da operação: quem faz o quê, em qual ordem, sob qual critério. É aqui que nasce a prescrição tecnológica, a indicação exata de como estruturar e configurar os fluxos.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Entregável: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Modelagem Operacional e Plano de Fluxos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Foco de ação: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Desenho de fluxos autogerenciáveis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Sintoma da ausência: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processos teóricos impossíveis de seguir na prática e ferramentas incompatíveis gerando silos de dados entre setores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38"/>
          <w:szCs w:val="38"/>
        </w:rPr>
        <w:t xml:space="preserve">03</w:t>
      </w:r>
      <w:r>
        <w:rPr>
          <w:rFonts w:ascii="Inter" w:cs="Inter" w:eastAsia="Inter" w:hAnsi="Inter"/>
          <w:b/>
          <w:bCs/>
          <w:color w:val="14142B"/>
          <w:sz w:val="25"/>
          <w:szCs w:val="25"/>
        </w:rPr>
        <w:t xml:space="preserve">   Execução</w:t>
      </w:r>
    </w:p>
    <w:p>
      <w:pPr>
        <w:spacing w:after="160" w:before="100" w:line="295"/>
        <w:jc w:val="both"/>
      </w:pPr>
      <w:r>
        <w:rPr>
          <w:rFonts w:ascii="Inter" w:cs="Inter" w:eastAsia="Inter" w:hAnsi="Inter"/>
          <w:color w:val="3A3A3A"/>
          <w:sz w:val="21"/>
          <w:szCs w:val="21"/>
        </w:rPr>
        <w:t xml:space="preserve">Os fluxos são estruturados e automatizados diretamente na plataforma: pipelines configurados, regras de automação criadas, e o ambiente vivo de relacionamento institucional, o GRI, colocado em operação, o ponto onde a arquitetura passa a lidar com dados reais.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Entregável: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Plataforma configurada e ambiente GRI em operação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Foco de ação: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Automação e centralização dos fluxos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Sintoma da ausência: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sistemas subutilizados, perda de histórico das demandas e equipes lidando com falhas estruturais recorrentes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38"/>
          <w:szCs w:val="38"/>
        </w:rPr>
        <w:t xml:space="preserve">04</w:t>
      </w:r>
      <w:r>
        <w:rPr>
          <w:rFonts w:ascii="Inter" w:cs="Inter" w:eastAsia="Inter" w:hAnsi="Inter"/>
          <w:b/>
          <w:bCs/>
          <w:color w:val="14142B"/>
          <w:sz w:val="25"/>
          <w:szCs w:val="25"/>
        </w:rPr>
        <w:t xml:space="preserve">   Validação</w:t>
      </w:r>
    </w:p>
    <w:p>
      <w:pPr>
        <w:spacing w:after="160" w:before="100" w:line="295"/>
        <w:jc w:val="both"/>
      </w:pPr>
      <w:r>
        <w:rPr>
          <w:rFonts w:ascii="Inter" w:cs="Inter" w:eastAsia="Inter" w:hAnsi="Inter"/>
          <w:color w:val="3A3A3A"/>
          <w:sz w:val="21"/>
          <w:szCs w:val="21"/>
        </w:rPr>
        <w:t xml:space="preserve">Etapa dedicada a validar o que foi construído em ambiente real, com participação de todas as equipes. Acompanhamos o uso prático, técnico, de atendimento e de gestão, garantindo que estrutura e tecnologia funcionem em sintonia com a rotina.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Entregável: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Processos validados e homologados pelas equipes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Foco de ação: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Adoção total e alinhamento prático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Sintoma da ausência: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equipes abandonando os novos fluxos, retorno aos hábitos manuais do passado e desalinhamento sobre responsabilidades de execução</w:t>
            </w:r>
          </w:p>
        </w:tc>
      </w:tr>
    </w:tbl>
    <w:p>
      <w:pPr>
        <w:spacing w:after="100" w:before="260"/>
      </w:pPr>
      <w:r>
        <w:rPr>
          <w:rFonts w:ascii="Inter" w:cs="Inter" w:eastAsia="Inter" w:hAnsi="Inter"/>
          <w:b/>
          <w:bCs/>
          <w:caps/>
          <w:color w:val="D9A441"/>
          <w:spacing w:val="20"/>
          <w:sz w:val="16"/>
          <w:szCs w:val="16"/>
        </w:rPr>
        <w:t xml:space="preserve">GRI, o ambiente vivo dentro da Execução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No núcleo de Execução, a arquitetura desenhada passa a operar com dados reais: atendimento institucional contínuo, inteligência artificial aplicada e histórico completo de cada interação. O GRI não é um método à parte, é a camada operacional que o Método Vértice constrói dentro de si mesmo.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10"/>
                <w:sz w:val="15"/>
                <w:szCs w:val="15"/>
              </w:rPr>
              <w:t xml:space="preserve">O que resolve sozinho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Segunda via de documentos e situação financeira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Status de processos e emissão de protocolos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Perguntas institucionais recorrentes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Agendamentos e confirmações</w:t>
            </w:r>
          </w:p>
        </w:tc>
        <w:tc>
          <w:tcPr>
            <w:tcW w:type="dxa" w:w="312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10"/>
                <w:sz w:val="15"/>
                <w:szCs w:val="15"/>
              </w:rPr>
              <w:t xml:space="preserve">Quando aciona uma pessoa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Sinal de insatisfação ou reclamação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Pedido explícito de atendimento humano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Assunto fora da alçada configurada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Duas tentativas sem compreensão clara</w:t>
            </w:r>
          </w:p>
        </w:tc>
        <w:tc>
          <w:tcPr>
            <w:tcW w:type="dxa" w:w="312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80"/>
              <w:bottom w:type="dxa" w:w="120"/>
              <w:right w:type="dxa" w:w="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10"/>
                <w:sz w:val="15"/>
                <w:szCs w:val="15"/>
              </w:rPr>
              <w:t xml:space="preserve">Onde a decisão é sempre humana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Deferimento, indeferimento ou julgamento de mérito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Pareceres jurídicos e processos éticos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Exceções fora dos limites aprovados pela gestão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Decisões oficiais de colegiados</w:t>
            </w:r>
          </w:p>
        </w:tc>
      </w:tr>
    </w:tbl>
    <w:p>
      <w:pPr>
        <w:spacing w:after="100" w:before="260"/>
      </w:pPr>
      <w:r>
        <w:rPr>
          <w:rFonts w:ascii="Inter" w:cs="Inter" w:eastAsia="Inter" w:hAnsi="Inter"/>
          <w:b/>
          <w:bCs/>
          <w:caps/>
          <w:color w:val="D9A441"/>
          <w:spacing w:val="20"/>
          <w:sz w:val="16"/>
          <w:szCs w:val="16"/>
        </w:rPr>
        <w:t xml:space="preserve">Prescrição tecnológica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tecnologia é consequência do processo, nunca o contrário. A plataforma final é sempre a que o diagnóstico indicar.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10"/>
                <w:sz w:val="15"/>
                <w:szCs w:val="15"/>
              </w:rPr>
              <w:t xml:space="preserve">Ordem de entrada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Diagnosticar, modelar o processo e só então prescrever a ferramenta que o sustenta</w:t>
            </w:r>
          </w:p>
        </w:tc>
        <w:tc>
          <w:tcPr>
            <w:tcW w:type="dxa" w:w="312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10"/>
                <w:sz w:val="15"/>
                <w:szCs w:val="15"/>
              </w:rPr>
              <w:t xml:space="preserve">Base técnica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Uma plataforma central concentrando os fluxos, reduzindo fragmentação e ampliando a governança</w:t>
            </w:r>
          </w:p>
        </w:tc>
        <w:tc>
          <w:tcPr>
            <w:tcW w:type="dxa" w:w="312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80"/>
              <w:bottom w:type="dxa" w:w="120"/>
              <w:right w:type="dxa" w:w="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10"/>
                <w:sz w:val="15"/>
                <w:szCs w:val="15"/>
              </w:rPr>
              <w:t xml:space="preserve">IA aplicada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Triagem e resposta no primeiro contato, suporte inteligente no acompanhamento, como visto no ambiente GRI</w:t>
            </w:r>
          </w:p>
        </w:tc>
      </w:tr>
    </w:tbl>
    <w:p>
      <w:pPr>
        <w:spacing w:after="100" w:before="260"/>
      </w:pPr>
      <w:r>
        <w:rPr>
          <w:rFonts w:ascii="Inter" w:cs="Inter" w:eastAsia="Inter" w:hAnsi="Inter"/>
          <w:b/>
          <w:bCs/>
          <w:caps/>
          <w:color w:val="D9A441"/>
          <w:spacing w:val="20"/>
          <w:sz w:val="16"/>
          <w:szCs w:val="16"/>
        </w:rPr>
        <w:t xml:space="preserve">Medição e resultado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Previsibilidade comparando, com rigor, o antes e o depois da operação.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4142B"/>
                <w:sz w:val="22"/>
                <w:szCs w:val="22"/>
              </w:rPr>
              <w:t xml:space="preserve">Fase inicial, o que se registra no início</w:t>
            </w:r>
          </w:p>
          <w:p>
            <w:pPr>
              <w:spacing w:line="280"/>
              <w:jc w:val="both"/>
            </w:pPr>
            <w:r>
              <w:rPr>
                <w:rFonts w:ascii="Inter" w:cs="Inter" w:eastAsia="Inter" w:hAnsi="Inter"/>
                <w:color w:val="3A3A3A"/>
                <w:sz w:val="20"/>
                <w:szCs w:val="20"/>
              </w:rPr>
              <w:t xml:space="preserve">Volumes de atendimento, tempos de resposta e gargalos qualitativos: a linha de base da operação.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4142B"/>
                <w:sz w:val="22"/>
                <w:szCs w:val="22"/>
              </w:rPr>
              <w:t xml:space="preserve">Fase de curso, o que se acompanha ao longo</w:t>
            </w:r>
          </w:p>
          <w:p>
            <w:pPr>
              <w:spacing w:line="280"/>
              <w:jc w:val="both"/>
            </w:pPr>
            <w:r>
              <w:rPr>
                <w:rFonts w:ascii="Inter" w:cs="Inter" w:eastAsia="Inter" w:hAnsi="Inter"/>
                <w:color w:val="3A3A3A"/>
                <w:sz w:val="20"/>
                <w:szCs w:val="20"/>
              </w:rPr>
              <w:t xml:space="preserve">Aderência aos fluxos desenhados, facilidade de adoção pelas equipes e os primeiros ganhos práticos.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4142B"/>
                <w:sz w:val="22"/>
                <w:szCs w:val="22"/>
              </w:rPr>
              <w:t xml:space="preserve">Fase de entrega, o que se entrega ao final</w:t>
            </w:r>
          </w:p>
          <w:p>
            <w:pPr>
              <w:spacing w:line="280"/>
              <w:jc w:val="both"/>
            </w:pPr>
            <w:r>
              <w:rPr>
                <w:rFonts w:ascii="Inter" w:cs="Inter" w:eastAsia="Inter" w:hAnsi="Inter"/>
                <w:color w:val="3A3A3A"/>
                <w:sz w:val="20"/>
                <w:szCs w:val="20"/>
              </w:rPr>
              <w:t xml:space="preserve">Comparação entre a operação anterior e o cenário atual, com cada evolução documentada.</w:t>
            </w:r>
          </w:p>
        </w:tc>
      </w:tr>
    </w:tbl>
    <w:p>
      <w:pPr>
        <w:spacing w:after="100" w:before="260"/>
      </w:pPr>
      <w:r>
        <w:rPr>
          <w:rFonts w:ascii="Inter" w:cs="Inter" w:eastAsia="Inter" w:hAnsi="Inter"/>
          <w:b/>
          <w:bCs/>
          <w:caps/>
          <w:color w:val="D9A441"/>
          <w:spacing w:val="20"/>
          <w:sz w:val="16"/>
          <w:szCs w:val="16"/>
        </w:rPr>
        <w:t xml:space="preserve">Depois do Vértice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Com o núcleo de Validação concluído e homologado, a jornada de reestruturação encerra formalmente e dá início à estabilidade operacional.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4142B"/>
                <w:sz w:val="22"/>
                <w:szCs w:val="22"/>
              </w:rPr>
              <w:t xml:space="preserve">Encerramento estruturado</w:t>
            </w:r>
          </w:p>
          <w:p>
            <w:pPr>
              <w:spacing w:line="280"/>
              <w:jc w:val="both"/>
            </w:pPr>
            <w:r>
              <w:rPr>
                <w:rFonts w:ascii="Inter" w:cs="Inter" w:eastAsia="Inter" w:hAnsi="Inter"/>
                <w:color w:val="3A3A3A"/>
                <w:sz w:val="20"/>
                <w:szCs w:val="20"/>
              </w:rPr>
              <w:t xml:space="preserve">O fim formal da jornada de reestruturação e o início da estabilidade operacional.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4142B"/>
                <w:sz w:val="22"/>
                <w:szCs w:val="22"/>
              </w:rPr>
              <w:t xml:space="preserve">Ecossistema de suporte</w:t>
            </w:r>
          </w:p>
          <w:p>
            <w:pPr>
              <w:spacing w:line="280"/>
              <w:jc w:val="both"/>
            </w:pPr>
            <w:r>
              <w:rPr>
                <w:rFonts w:ascii="Inter" w:cs="Inter" w:eastAsia="Inter" w:hAnsi="Inter"/>
                <w:color w:val="3A3A3A"/>
                <w:sz w:val="20"/>
                <w:szCs w:val="20"/>
              </w:rPr>
              <w:t xml:space="preserve">A instituição entra no ecossistema Traevo: suporte técnico dedicado, otimização de fluxos e expansão da plataforma.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4142B"/>
                <w:sz w:val="22"/>
                <w:szCs w:val="22"/>
              </w:rPr>
              <w:t xml:space="preserve">Acompanhamento mensal</w:t>
            </w:r>
          </w:p>
          <w:p>
            <w:pPr>
              <w:spacing w:line="280"/>
              <w:jc w:val="both"/>
            </w:pPr>
            <w:r>
              <w:rPr>
                <w:rFonts w:ascii="Inter" w:cs="Inter" w:eastAsia="Inter" w:hAnsi="Inter"/>
                <w:color w:val="3A3A3A"/>
                <w:sz w:val="20"/>
                <w:szCs w:val="20"/>
              </w:rPr>
              <w:t xml:space="preserve">Calibragem das estruturas desenhadas, análise de novos desafios e garantia de que as equipes não fiquem desamparadas.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4142B"/>
                <w:sz w:val="22"/>
                <w:szCs w:val="22"/>
              </w:rPr>
              <w:t xml:space="preserve">Nova rodada do Vértice</w:t>
            </w:r>
          </w:p>
          <w:p>
            <w:pPr>
              <w:spacing w:line="280"/>
              <w:jc w:val="both"/>
            </w:pPr>
            <w:r>
              <w:rPr>
                <w:rFonts w:ascii="Inter" w:cs="Inter" w:eastAsia="Inter" w:hAnsi="Inter"/>
                <w:color w:val="3A3A3A"/>
                <w:sz w:val="20"/>
                <w:szCs w:val="20"/>
              </w:rPr>
              <w:t xml:space="preserve">Em expansões expressivas, como novos setores ou novos serviços, estrutura-se uma rodada avançada sobre a base já estabelecida.</w:t>
            </w:r>
          </w:p>
        </w:tc>
      </w:tr>
    </w:tbl>
    <w:p>
      <w:r>
        <w:br w:type="page"/>
      </w:r>
    </w:p>
    <w:p>
      <w:pPr>
        <w:spacing w:after="100" w:before="260"/>
      </w:pPr>
      <w:r>
        <w:rPr>
          <w:rFonts w:ascii="Inter" w:cs="Inter" w:eastAsia="Inter" w:hAnsi="Inter"/>
          <w:b/>
          <w:bCs/>
          <w:caps/>
          <w:color w:val="D9A441"/>
          <w:spacing w:val="20"/>
          <w:sz w:val="16"/>
          <w:szCs w:val="16"/>
        </w:rPr>
        <w:t xml:space="preserve">Método 02 · Cultural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  <w:sz w:val="40"/>
          <w:szCs w:val="40"/>
        </w:rPr>
        <w:t xml:space="preserve">Conexões Inteligentes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Conexões Inteligentes é a metodologia que organiza a comunicação interna, a colaboração entre setores e a execução das rotinas administrativas em um fluxo contínuo de trabalho, com a plataforma como ambiente central.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Não é a implantação de mais um sistema. É a construção de um novo modelo de trabalho, que integra pessoas, processos e ferramentas, atuando principalmente no comportamento das equipes.</w:t>
      </w:r>
    </w:p>
    <w:p>
      <w:pPr>
        <w:pBdr>
          <w:left w:val="single" w:color="D9A441" w:sz="28" w:space="16"/>
        </w:pBdr>
        <w:spacing w:after="320" w:before="200"/>
        <w:ind w:left="320"/>
      </w:pPr>
      <w:r>
        <w:rPr>
          <w:rFonts w:ascii="Inter" w:cs="Inter" w:eastAsia="Inter" w:hAnsi="Inter"/>
          <w:b/>
          <w:bCs/>
          <w:i/>
          <w:iCs/>
          <w:color w:val="14142B"/>
          <w:sz w:val="32"/>
          <w:szCs w:val="32"/>
        </w:rPr>
        <w:t xml:space="preserve">Produtividade não vem de trabalhar mais. Vem de trabalhar melhor.</w:t>
      </w:r>
    </w:p>
    <w:p>
      <w:pPr>
        <w:spacing w:after="100" w:before="260"/>
      </w:pPr>
      <w:r>
        <w:rPr>
          <w:rFonts w:ascii="Inter" w:cs="Inter" w:eastAsia="Inter" w:hAnsi="Inter"/>
          <w:b/>
          <w:bCs/>
          <w:caps/>
          <w:color w:val="8A8A8A"/>
          <w:spacing w:val="20"/>
          <w:sz w:val="16"/>
          <w:szCs w:val="16"/>
        </w:rPr>
        <w:t xml:space="preserve">As três premissas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As regras de ouro que passam a governar a rotina interna depois do método.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10"/>
                <w:sz w:val="15"/>
                <w:szCs w:val="15"/>
              </w:rPr>
              <w:t xml:space="preserve">Tudo que é falado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Vira ação: despachos, reuniões e conversas viram tarefas com responsável e prazo definidos, nada se perde no corredor ou no e-mail</w:t>
            </w:r>
          </w:p>
        </w:tc>
        <w:tc>
          <w:tcPr>
            <w:tcW w:type="dxa" w:w="312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10"/>
                <w:sz w:val="15"/>
                <w:szCs w:val="15"/>
              </w:rPr>
              <w:t xml:space="preserve">Tudo que é feito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Fica registrado: toda decisão fica documentada, contextualizada e rastreável, pronta para auditoria e transparência</w:t>
            </w:r>
          </w:p>
        </w:tc>
        <w:tc>
          <w:tcPr>
            <w:tcW w:type="dxa" w:w="3120"/>
            <w:tcBorders>
              <w:top w:val="single" w:color="D9A441" w:sz="1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80"/>
              <w:bottom w:type="dxa" w:w="120"/>
              <w:right w:type="dxa" w:w="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aps/>
                <w:color w:val="D9A441"/>
                <w:spacing w:val="10"/>
                <w:sz w:val="15"/>
                <w:szCs w:val="15"/>
              </w:rPr>
              <w:t xml:space="preserve">Tudo que importa</w:t>
            </w:r>
          </w:p>
          <w:p>
            <w:pPr>
              <w:spacing w:after="60" w:line="27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19"/>
                <w:szCs w:val="19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Está conectado: setores, servidores e processos fluem de forma integrada e visível, sem silos entre departamentos</w:t>
            </w:r>
          </w:p>
        </w:tc>
      </w:tr>
    </w:tbl>
    <w:p>
      <w:pPr>
        <w:spacing w:after="100" w:before="260"/>
      </w:pPr>
      <w:r>
        <w:rPr>
          <w:rFonts w:ascii="Inter" w:cs="Inter" w:eastAsia="Inter" w:hAnsi="Inter"/>
          <w:b/>
          <w:bCs/>
          <w:caps/>
          <w:color w:val="D9A441"/>
          <w:spacing w:val="20"/>
          <w:sz w:val="16"/>
          <w:szCs w:val="16"/>
        </w:rPr>
        <w:t xml:space="preserve">Os cinco núcleos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jornada completa, do diagnóstico à sustentação da cultura.</w:t>
      </w:r>
    </w:p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38"/>
          <w:szCs w:val="38"/>
        </w:rPr>
        <w:t xml:space="preserve">A</w:t>
      </w:r>
      <w:r>
        <w:rPr>
          <w:rFonts w:ascii="Inter" w:cs="Inter" w:eastAsia="Inter" w:hAnsi="Inter"/>
          <w:b/>
          <w:bCs/>
          <w:color w:val="14142B"/>
          <w:sz w:val="25"/>
          <w:szCs w:val="25"/>
        </w:rPr>
        <w:t xml:space="preserve">   Diagnóstico</w:t>
      </w:r>
    </w:p>
    <w:p>
      <w:pPr>
        <w:spacing w:after="160" w:before="100" w:line="295"/>
        <w:jc w:val="both"/>
      </w:pPr>
      <w:r>
        <w:rPr>
          <w:rFonts w:ascii="Inter" w:cs="Inter" w:eastAsia="Inter" w:hAnsi="Inter"/>
          <w:color w:val="3A3A3A"/>
          <w:sz w:val="21"/>
          <w:szCs w:val="21"/>
        </w:rPr>
        <w:t xml:space="preserve">Diagnóstico da Comunicação: compreender como o órgão realmente se comunica antes de qualquer mudança, do e-mail para todos ao WhatsApp pessoal e ao papel.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Foco: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mapear ruídos, gargalos e padrões que travam a rotina interna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Atividades: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mapeamento de todos os canais internos, análise da comunicação por setor e identificação de retrabalho e demandas perdidas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38"/>
          <w:szCs w:val="38"/>
        </w:rPr>
        <w:t xml:space="preserve">B</w:t>
      </w:r>
      <w:r>
        <w:rPr>
          <w:rFonts w:ascii="Inter" w:cs="Inter" w:eastAsia="Inter" w:hAnsi="Inter"/>
          <w:b/>
          <w:bCs/>
          <w:color w:val="14142B"/>
          <w:sz w:val="25"/>
          <w:szCs w:val="25"/>
        </w:rPr>
        <w:t xml:space="preserve">   Estrutura</w:t>
      </w:r>
    </w:p>
    <w:p>
      <w:pPr>
        <w:spacing w:after="160" w:before="100" w:line="295"/>
        <w:jc w:val="both"/>
      </w:pPr>
      <w:r>
        <w:rPr>
          <w:rFonts w:ascii="Inter" w:cs="Inter" w:eastAsia="Inter" w:hAnsi="Inter"/>
          <w:color w:val="3A3A3A"/>
          <w:sz w:val="21"/>
          <w:szCs w:val="21"/>
        </w:rPr>
        <w:t xml:space="preserve">Estrutura de Conversação: a base do novo modelo de trabalho. Substituímos a dispersão por canais organizados, com regras claras de operação e espaços com permissões adequadas a cada nível de sigilo.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Foco: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substituir a dispersão por canais oficiais organizados e regras claras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Atividades: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grupos de trabalho por setor, comissão e projeto, e definição de regras de uso dos canais oficiais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38"/>
          <w:szCs w:val="38"/>
        </w:rPr>
        <w:t xml:space="preserve">C</w:t>
      </w:r>
      <w:r>
        <w:rPr>
          <w:rFonts w:ascii="Inter" w:cs="Inter" w:eastAsia="Inter" w:hAnsi="Inter"/>
          <w:b/>
          <w:bCs/>
          <w:color w:val="14142B"/>
          <w:sz w:val="25"/>
          <w:szCs w:val="25"/>
        </w:rPr>
        <w:t xml:space="preserve">   Fluxos</w:t>
      </w:r>
    </w:p>
    <w:p>
      <w:pPr>
        <w:spacing w:after="160" w:before="100" w:line="295"/>
        <w:jc w:val="both"/>
      </w:pPr>
      <w:r>
        <w:rPr>
          <w:rFonts w:ascii="Inter" w:cs="Inter" w:eastAsia="Inter" w:hAnsi="Inter"/>
          <w:color w:val="3A3A3A"/>
          <w:sz w:val="21"/>
          <w:szCs w:val="21"/>
        </w:rPr>
        <w:t xml:space="preserve">Implementação dos Fluxos: transformar a operação real do órgão em fluxos estruturados, conectando comunicação e execução. Cada conversa relevante gera uma ação rastreável.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Foco: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fazer com que cada conversa relevante gere uma ação rastreável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Atividades: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kanbans e cronogramas para demandas internas, automações de tarefas e aprovações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38"/>
          <w:szCs w:val="38"/>
        </w:rPr>
        <w:t xml:space="preserve">D</w:t>
      </w:r>
      <w:r>
        <w:rPr>
          <w:rFonts w:ascii="Inter" w:cs="Inter" w:eastAsia="Inter" w:hAnsi="Inter"/>
          <w:b/>
          <w:bCs/>
          <w:color w:val="14142B"/>
          <w:sz w:val="25"/>
          <w:szCs w:val="25"/>
        </w:rPr>
        <w:t xml:space="preserve">   Treinamento</w:t>
      </w:r>
    </w:p>
    <w:p>
      <w:pPr>
        <w:spacing w:after="160" w:before="100" w:line="295"/>
        <w:jc w:val="both"/>
      </w:pPr>
      <w:r>
        <w:rPr>
          <w:rFonts w:ascii="Inter" w:cs="Inter" w:eastAsia="Inter" w:hAnsi="Inter"/>
          <w:color w:val="3A3A3A"/>
          <w:sz w:val="21"/>
          <w:szCs w:val="21"/>
        </w:rPr>
        <w:t xml:space="preserve">Treinamento por Área: capacitar cada setor para operar com autonomia no novo modelo. Mais do que ensinar a ferramenta, ensinamos a pensar o trabalho de forma estruturada dentro do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Foco: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ensinar a pensar o trabalho de forma estruturada dentro do sistema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Atividades: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treinamentos específicos por setor e função, e capacitação no aplicativo móvel</w:t>
            </w:r>
          </w:p>
        </w:tc>
      </w:tr>
    </w:tbl>
    <w:p>
      <w:pPr>
        <w:pBdr>
          <w:top w:val="single" w:color="E3E3E3" w:sz="4" w:space="10"/>
        </w:pBdr>
        <w:spacing w:after="0" w:before="420"/>
      </w:pPr>
      <w:r>
        <w:rPr>
          <w:rFonts w:ascii="Inter" w:cs="Inter" w:eastAsia="Inter" w:hAnsi="Inter"/>
          <w:b/>
          <w:bCs/>
          <w:color w:val="D9A441"/>
          <w:sz w:val="38"/>
          <w:szCs w:val="38"/>
        </w:rPr>
        <w:t xml:space="preserve">E</w:t>
      </w:r>
      <w:r>
        <w:rPr>
          <w:rFonts w:ascii="Inter" w:cs="Inter" w:eastAsia="Inter" w:hAnsi="Inter"/>
          <w:b/>
          <w:bCs/>
          <w:color w:val="14142B"/>
          <w:sz w:val="25"/>
          <w:szCs w:val="25"/>
        </w:rPr>
        <w:t xml:space="preserve">   Sustentação</w:t>
      </w:r>
    </w:p>
    <w:p>
      <w:pPr>
        <w:spacing w:after="160" w:before="100" w:line="295"/>
        <w:jc w:val="both"/>
      </w:pPr>
      <w:r>
        <w:rPr>
          <w:rFonts w:ascii="Inter" w:cs="Inter" w:eastAsia="Inter" w:hAnsi="Inter"/>
          <w:color w:val="3A3A3A"/>
          <w:sz w:val="21"/>
          <w:szCs w:val="21"/>
        </w:rPr>
        <w:t xml:space="preserve">Sustentação da Cultura: garantir que a transformação permaneça e evolua junto com o órgão, com acordos claros e autonomia das equipes.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Foco: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cultura de colaboração sustentável, baseada em acordos e autonomia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40"/>
              <w:bottom w:type="dxa" w:w="90"/>
              <w:right w:type="dxa" w:w="40"/>
            </w:tcMar>
          </w:tcPr>
          <w:p>
            <w:r>
              <w:rPr>
                <w:rFonts w:ascii="Inter" w:cs="Inter" w:eastAsia="Inter" w:hAnsi="Inter"/>
                <w:b/>
                <w:bCs/>
                <w:color w:val="14142B"/>
                <w:sz w:val="19"/>
                <w:szCs w:val="19"/>
              </w:rPr>
              <w:t xml:space="preserve">Atividades:  </w:t>
            </w:r>
            <w:r>
              <w:rPr>
                <w:rFonts w:ascii="Inter" w:cs="Inter" w:eastAsia="Inter" w:hAnsi="Inter"/>
                <w:color w:val="3A3A3A"/>
                <w:sz w:val="19"/>
                <w:szCs w:val="19"/>
              </w:rPr>
              <w:t xml:space="preserve">curso Conexões Inteligentes para as equipes e onboarding padronizado para novos servidores</w:t>
            </w:r>
          </w:p>
        </w:tc>
      </w:tr>
    </w:tbl>
    <w:p>
      <w:pPr>
        <w:spacing w:after="100" w:before="260"/>
      </w:pPr>
      <w:r>
        <w:rPr>
          <w:rFonts w:ascii="Inter" w:cs="Inter" w:eastAsia="Inter" w:hAnsi="Inter"/>
          <w:b/>
          <w:bCs/>
          <w:caps/>
          <w:color w:val="D9A441"/>
          <w:spacing w:val="20"/>
          <w:sz w:val="16"/>
          <w:szCs w:val="16"/>
        </w:rPr>
        <w:t xml:space="preserve">Como começa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Cinco passos, do alinhamento à sustentação.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4142B"/>
                <w:sz w:val="22"/>
                <w:szCs w:val="22"/>
              </w:rPr>
              <w:t xml:space="preserve">01–02 · Alinhamento e diagnóstico</w:t>
            </w:r>
          </w:p>
          <w:p>
            <w:pPr>
              <w:spacing w:line="280"/>
              <w:jc w:val="both"/>
            </w:pPr>
            <w:r>
              <w:rPr>
                <w:rFonts w:ascii="Inter" w:cs="Inter" w:eastAsia="Inter" w:hAnsi="Inter"/>
                <w:color w:val="3A3A3A"/>
                <w:sz w:val="20"/>
                <w:szCs w:val="20"/>
              </w:rPr>
              <w:t xml:space="preserve">Necessidades, escopo e ruídos reais da comunicação interna.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4142B"/>
                <w:sz w:val="22"/>
                <w:szCs w:val="22"/>
              </w:rPr>
              <w:t xml:space="preserve">03 · Implementação dos fluxos</w:t>
            </w:r>
          </w:p>
          <w:p>
            <w:pPr>
              <w:spacing w:line="280"/>
              <w:jc w:val="both"/>
            </w:pPr>
            <w:r>
              <w:rPr>
                <w:rFonts w:ascii="Inter" w:cs="Inter" w:eastAsia="Inter" w:hAnsi="Inter"/>
                <w:color w:val="3A3A3A"/>
                <w:sz w:val="20"/>
                <w:szCs w:val="20"/>
              </w:rPr>
              <w:t xml:space="preserve">Estrutura de conversação e rotinas configuradas no ambiente único.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4142B"/>
                <w:sz w:val="22"/>
                <w:szCs w:val="22"/>
              </w:rPr>
              <w:t xml:space="preserve">04 · Capacitação por setor</w:t>
            </w:r>
          </w:p>
          <w:p>
            <w:pPr>
              <w:spacing w:line="280"/>
              <w:jc w:val="both"/>
            </w:pPr>
            <w:r>
              <w:rPr>
                <w:rFonts w:ascii="Inter" w:cs="Inter" w:eastAsia="Inter" w:hAnsi="Inter"/>
                <w:color w:val="3A3A3A"/>
                <w:sz w:val="20"/>
                <w:szCs w:val="20"/>
              </w:rPr>
              <w:t xml:space="preserve">Treinamento específico, incluindo a operação em campo.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4142B"/>
                <w:sz w:val="22"/>
                <w:szCs w:val="22"/>
              </w:rPr>
              <w:t xml:space="preserve">05 · Sustentação da cultura</w:t>
            </w:r>
          </w:p>
          <w:p>
            <w:pPr>
              <w:spacing w:line="280"/>
              <w:jc w:val="both"/>
            </w:pPr>
            <w:r>
              <w:rPr>
                <w:rFonts w:ascii="Inter" w:cs="Inter" w:eastAsia="Inter" w:hAnsi="Inter"/>
                <w:color w:val="3A3A3A"/>
                <w:sz w:val="20"/>
                <w:szCs w:val="20"/>
              </w:rPr>
              <w:t xml:space="preserve">Curso contínuo e acompanhamento até a adoção plena.</w:t>
            </w:r>
          </w:p>
        </w:tc>
      </w:tr>
    </w:tbl>
    <w:p>
      <w:pPr>
        <w:pBdr>
          <w:left w:val="single" w:color="14142B" w:sz="28" w:space="16"/>
        </w:pBdr>
        <w:shd w:fill="F7F3EA" w:val="clear"/>
        <w:spacing w:after="0" w:before="200"/>
        <w:ind w:left="320"/>
      </w:pPr>
      <w:r>
        <w:rPr>
          <w:rFonts w:ascii="Inter" w:cs="Inter" w:eastAsia="Inter" w:hAnsi="Inter"/>
          <w:b/>
          <w:bCs/>
          <w:caps/>
          <w:color w:val="14142B"/>
          <w:spacing w:val="20"/>
          <w:sz w:val="16"/>
          <w:szCs w:val="16"/>
        </w:rPr>
        <w:t xml:space="preserve">Como as duas metodologias se conectam</w:t>
      </w:r>
    </w:p>
    <w:p>
      <w:pPr>
        <w:pBdr>
          <w:left w:val="single" w:color="14142B" w:sz="28" w:space="16"/>
        </w:pBdr>
        <w:shd w:fill="F7F3EA" w:val="clear"/>
        <w:spacing w:after="280" w:before="60" w:line="300"/>
        <w:ind w:left="320"/>
        <w:jc w:val="both"/>
      </w:pPr>
      <w:r>
        <w:rPr>
          <w:rFonts w:ascii="Inter" w:cs="Inter" w:eastAsia="Inter" w:hAnsi="Inter"/>
          <w:i/>
          <w:iCs/>
          <w:color w:val="3A3A3A"/>
          <w:sz w:val="22"/>
          <w:szCs w:val="22"/>
        </w:rPr>
        <w:t xml:space="preserve">O Método Vértice estrutura o que a instituição faz: seus processos, sua governança, sua base tecnológica. As Conexões Inteligentes estruturam como as equipes trabalham juntas no dia a dia, depois que essa base existe. Uma instituição pode iniciar por qualquer uma das duas frentes, mas as duas convergem para a mesma arquitetura institucional.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8A8A8A"/>
        <w:sz w:val="15"/>
        <w:szCs w:val="15"/>
      </w:rPr>
      <w:t xml:space="preserve">Traevo — Metodologias Vértice &amp; Conexões Inteligentes   ·   </w:t>
    </w:r>
    <w:r>
      <w:rPr>
        <w:rFonts w:ascii="Inter" w:cs="Inter" w:eastAsia="Inter" w:hAnsi="Inter"/>
        <w:color w:val="8A8A8A"/>
        <w:sz w:val="15"/>
        <w:szCs w:val="15"/>
      </w:rPr>
      <w:t xml:space="preserve">CURRENT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3E3" w:sz="3" w:space="6"/>
      </w:pBdr>
      <w:jc w:val="right"/>
    </w:pPr>
    <w:r>
      <w:rPr>
        <w:rFonts w:ascii="Inter" w:cs="Inter" w:eastAsia="Inter" w:hAnsi="Inter"/>
        <w:b/>
        <w:bCs/>
        <w:caps/>
        <w:color w:val="8A8A8A"/>
        <w:spacing w:val="14"/>
        <w:sz w:val="15"/>
        <w:szCs w:val="15"/>
      </w:rPr>
      <w:t xml:space="preserve">TRAEVO · METODOLOGIAS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A3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2026-08-03T21:30:06.310Z</dcterms:created>
  <dcterms:modified xsi:type="dcterms:W3CDTF">2026-08-03T21:30:06.314Z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