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89B3C"/>
          <w:spacing w:val="20"/>
          <w:sz w:val="20"/>
          <w:szCs w:val="20"/>
        </w:rPr>
        <w:t xml:space="preserve">ZANKA GROUP</w:t>
      </w:r>
    </w:p>
    <w:p>
      <w:pPr>
        <w:pStyle w:val="Title"/>
        <w:spacing w:after="120"/>
      </w:pPr>
      <w:r>
        <w:rPr>
          <w:b/>
          <w:bCs/>
          <w:color w:val="1F2A44"/>
        </w:rPr>
        <w:t xml:space="preserve">Rental Property Budget Template</w:t>
      </w:r>
    </w:p>
    <w:p>
      <w:pPr>
        <w:pBdr>
          <w:bottom w:val="single" w:color="C89B3C" w:sz="8" w:space="8"/>
        </w:pBdr>
        <w:spacing w:after="300"/>
      </w:pPr>
      <w:r>
        <w:rPr>
          <w:i/>
          <w:iCs/>
          <w:color w:val="555555"/>
        </w:rPr>
        <w:t xml:space="preserve">Fill in per property to track profitability at a glance.</w:t>
      </w:r>
    </w:p>
    <w:p>
      <w:pPr>
        <w:spacing w:after="160"/>
      </w:pPr>
      <w:r>
        <w:t xml:space="preserve">Property Address: ________________________________     Purchase Price: R ________________________________</w:t>
      </w:r>
    </w:p>
    <w:p>
      <w:pPr>
        <w:pStyle w:val="Heading2"/>
        <w:spacing w:after="120" w:before="300"/>
      </w:pPr>
      <w:r>
        <w:rPr>
          <w:b/>
          <w:bCs/>
          <w:color w:val="1F2A44"/>
        </w:rPr>
        <w:t xml:space="preserve">Income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200"/>
      </w:tblGrid>
      <w:tr>
        <w:tc>
          <w:tcPr>
            <w:tcW w:type="dxa" w:w="50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(R)</w:t>
            </w:r>
          </w:p>
        </w:tc>
        <w:tc>
          <w:tcPr>
            <w:tcW w:type="dxa" w:w="22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Annual (R)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Gross rental income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Other income (e.g. parking, storage)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2A44"/>
        </w:rPr>
        <w:t xml:space="preserve">Fixed Expenses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200"/>
      </w:tblGrid>
      <w:tr>
        <w:tc>
          <w:tcPr>
            <w:tcW w:type="dxa" w:w="50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(R)</w:t>
            </w:r>
          </w:p>
        </w:tc>
        <w:tc>
          <w:tcPr>
            <w:tcW w:type="dxa" w:w="22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Annual (R)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Bond repayment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Levies (sectional title / HOA)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Rates and taxes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Insurance (buildings)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Management fee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2A44"/>
        </w:rPr>
        <w:t xml:space="preserve">Variable &amp; Reserve Expenses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200"/>
      </w:tblGrid>
      <w:tr>
        <w:tc>
          <w:tcPr>
            <w:tcW w:type="dxa" w:w="50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(R)</w:t>
            </w:r>
          </w:p>
        </w:tc>
        <w:tc>
          <w:tcPr>
            <w:tcW w:type="dxa" w:w="22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Annual (R)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Maintenance reserve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Vacancy reserve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Municipal services (if owner-paid)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2A44"/>
        </w:rPr>
        <w:t xml:space="preserve">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200"/>
      </w:tblGrid>
      <w:tr>
        <w:tc>
          <w:tcPr>
            <w:tcW w:type="dxa" w:w="50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(R)</w:t>
            </w:r>
          </w:p>
        </w:tc>
        <w:tc>
          <w:tcPr>
            <w:tcW w:type="dxa" w:w="2200"/>
            <w:shd w:fill="1F2A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Annual (R)</w:t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Income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Expenses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 Cash Flow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>Net Rental Yield = (Annual Income − Annual Expenses) ÷ Property Value × 100</w:t>
      </w:r>
    </w:p>
    <w:p>
      <w:pPr>
        <w:pBdr>
          <w:top w:val="single" w:color="CCCCCC" w:sz="4" w:space="8"/>
        </w:pBdr>
        <w:spacing w:before="400"/>
      </w:pPr>
      <w:r>
        <w:rPr>
          <w:color w:val="888888"/>
          <w:sz w:val="16"/>
          <w:szCs w:val="16"/>
        </w:rPr>
        <w:t xml:space="preserve">Zanka Group (Pty) Ltd  ·  info@zankagroup.co.za  ·  074 814 8812  ·  Sandton, Johannesburg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2026-07-19T16:18:37.471Z</dcterms:created>
  <dcterms:modified xsi:type="dcterms:W3CDTF">2026-07-19T16:18:37.471Z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