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Retail CPG Analytics Portfolio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Walmart Scintilla-Style Dashboard  ·  Power BI  ·  7 Pages  ·  One-Pager Series</w:t>
      </w:r>
    </w:p>
    <w:p>
      <w:pPr>
        <w:pBdr>
          <w:bottom w:val="single" w:color="2E75B6" w:sz="12" w:space="1"/>
        </w:pBd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Nelly  ·  CPG / Retail Analytics  ·  SQL · Power BI · DAX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Section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KPIs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Sales Overview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$32.23M Sales TY · 6.8% YoY · 28.5% GM Rate · Category scorecard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 Performance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52-week TY vs LY trend · Item detail · 26.8% Promo Mix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Inventory Health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88.9% In-Stock Rate · $4.14M Lost Sales · 1.4 Avg WOS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Promo Analytics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19.9% Avg Lift · $496K Trade Spend · 2.56 Avg ROI · 150K Incremental Units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Supply Chain — OTIF &amp; Supplier Scorecard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54.2% OTIF · $304K Fine Exposure · -1.0 Avg Days vs MABD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Supply Chain — Fine Exposure &amp; Root Cause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41% Fine Eligible Rate · 213 PO Lines · Root cause 43/47/51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Supply Chain — Carrier &amp; Freight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Carrier SCAC scorecard · Collect vs Prepaid · MABD timing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Each page includes: live KPI values from the dashboard · key findings · recommendations · potential deliverables for stakeholder use.</w:t>
      </w:r>
    </w:p>
    <w:p>
      <w:pPr>
        <w:pBdr>
          <w:bottom w:val="single" w:color="2E75B6" w:sz="16" w:space="1"/>
        </w:pBdr>
        <w:spacing w:after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Page 1  · 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Sales Overview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Category &amp; regional YoY performance · KPI cards · Category scorecard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$32.23M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Sales 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$30.18M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Sales 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$2.04M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YoY Dollar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6.8%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YoY Pct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28.5%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GM Rate TY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Category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900"/>
        <w:gridCol w:w="700"/>
        <w:gridCol w:w="1800"/>
        <w:gridCol w:w="1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$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Profit 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GM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Beverages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$11.55M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$10.69M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$858K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$3.58M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Home Care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$8.93M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$8.37M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$562K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$2.41M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Beauty &amp; Personal Care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$4.73M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$4.42M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$312K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$1.42M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Snacks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$4.57M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$4.36M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$216K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$1.19M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$2.44M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$2.35M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$95K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$0.59M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$32.23M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$30.18M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$2.04M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$9.19M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28.5%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Beverages leads growth in absolute dollars ($858K YoY)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at 8.0% — the highest growth rate of any category. It also carries the strongest GM rate at 31%, making it the most valuable category to protect from stockouts.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Pet is the slowest-growing category at 4.0%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and carries the lowest GM rate at 24%. Promotions in Pet should be evaluated carefully — trade spend ROI is thinnest here.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portfolio growth of 6.8% YoY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is driven primarily by Beverages and Home Care, which together represent 63% of total sales. Beauty &amp; Personal Care is the strongest performer on a rate basis relative to its size.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Talking Points for Buyer Meetings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'Our total portfolio grew 6.8% YoY — ahead of the category average. Beverages and Home Care are the primary growth engines, together delivering $1.42M of the $2.04M total dollar gain.'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'GM rate held at 28.5% despite promotional investment — promo mix is being managed efficiently across the five categories.'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• 'Pet is the watch item. At 4.0% growth and 24% GM, it is the category most exposed to promotional spend without meaningful return.'</w:t>
      </w:r>
    </w:p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Potential Deliverable — Category Business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 scorecard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 / Power BI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Buyer, Category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YoY performance deck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Quarterly JBP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Buyer, Sales 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GM rate 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visual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 Sales Team</w:t>
            </w:r>
          </w:p>
        </w:tc>
      </w:tr>
    </w:tbl>
    <w:p>
      <w:r>
        <w:br/>
        <w:t xml:space="preserve"/>
      </w:r>
      <w:r>
        <w:br w:type="page"/>
      </w:r>
    </w:p>
    <w:p>
      <w:pPr>
        <w:pBdr>
          <w:bottom w:val="single" w:color="2E75B6" w:sz="16" w:space="1"/>
        </w:pBdr>
        <w:spacing w:after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Page 2  · 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Weekly Performance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52-week TY vs LY trend · Item-level detail · Promo mix by category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$32.23M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Sales 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3M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Units 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6.8%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YoY Pct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26.8%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Promo Mix Pct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Item-Level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1200"/>
        <w:gridCol w:w="800"/>
        <w:gridCol w:w="700"/>
        <w:gridCol w:w="1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$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 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Energy Drink 12pk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Beverages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$8.66M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$7.99M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$664K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8.3%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$14.77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Protein Bar Variety Pack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Snacks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$3.16M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$2.95M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$212K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7.2%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$9.81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Sparkling Water 8pk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Beverages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$2.89M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$2.70M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$194K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7.2%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$6.86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Premium Shampoo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Beauty &amp; Personal 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$2.28M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$2.12M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$165K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7.8%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$8.84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Fresh Breeze Softener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Home 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$2.28M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$2.22M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$56K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2.5%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$6.87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Hydrating Conditioner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Beauty &amp; Personal 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$1.61M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$1.50M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$109K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7.3%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$7.85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Granola Clusters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Snacks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$1.41M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$1.41M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0.2%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$5.89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Kids Bubble Bath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Beauty &amp; Personal 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$0.84M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$0.80M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$38K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4.7%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$5.82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Dog Treats Chewy Bites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$2.44M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$2.35M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$95K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4.0%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$8.79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Energy Drink 12pk is the single largest item at $8.66M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representing 26.9% of total portfolio sales. Its 8.3% YoY growth rate drives a disproportionate share of absolute dollar gains. Any in-stock failure on this item has outsized revenue impact.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Granola Clusters is virtually flat at +0.2% YoY.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At $5.89 ASP with minimal growth, this item warrants an assortment review — it may be a candidate for promotional investment or range rationalization.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Promo Mix of 26.8% is healthy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roughly 1 in 4 sales dollars is driven by promotion. The weekly trend chart shows seasonal promo clustering in Q2 and Q3, consistent with summer and back-to-school events.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Potential Deliverable — Weekly Business Review (WBR)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Item-level POS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 pivot / Power BI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Replenishment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WBR deck — TY vs LY 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PowerPoint (3 slides)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Promo mix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visual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Sales team, Trade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52-week rolling 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line chart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Always-on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 planning</w:t>
            </w:r>
          </w:p>
        </w:tc>
      </w:tr>
    </w:tbl>
    <w:p>
      <w:r>
        <w:br/>
        <w:t xml:space="preserve"/>
      </w:r>
      <w:r>
        <w:br w:type="page"/>
      </w:r>
    </w:p>
    <w:p>
      <w:pPr>
        <w:pBdr>
          <w:bottom w:val="single" w:color="2E75B6" w:sz="16" w:space="1"/>
        </w:pBdr>
        <w:spacing w:after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Page 3  · 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Inventory Health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In-stock rate · Lost sales quantification · WOS vs target · Stockout trend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88.9%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In-Stock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$4.14M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Lost Sales Dollars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36"/>
                <w:szCs w:val="36"/>
              </w:rPr>
              <w:t xml:space="preserve">1.4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Avg WOS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36"/>
                <w:szCs w:val="36"/>
              </w:rPr>
              <w:t xml:space="preserve">87.3%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Fill Rate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Store-Item Detail (Store 103 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300"/>
        <w:gridCol w:w="1300"/>
        <w:gridCol w:w="1100"/>
        <w:gridCol w:w="1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In-Stock 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Lost Sales $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WOS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WOS vs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Energy Drink 12pk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Beverages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86.5%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$19,506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Protein Bar Variety Pack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Snacks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82.7%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$8,345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Sparkling Water 8pk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Beverages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88.5%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$6,998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Fresh Breeze Softener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Home Care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82.7%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$5,960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Premium Shampoo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Beauty &amp; Personal Care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92.3%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$4,880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Hydrating Conditioner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Beauty &amp; Personal Care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88.5%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$3,865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Dog Treats Chewy Bites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$4,934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Granola Clusters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Snacks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92.3%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$2,878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Kids Bubble Bath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Beauty &amp; Personal Care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96.2%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$955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-0.5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In-stock rate of 88.9% is materially below the 95% Walmart vendor benchmark.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Nearly 1 in 9 store-item weeks failed. At Walmart's scale, each percentage point of in-stock improvement translates directly to millions in recovered revenue.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Avg WOS of 1.4 is 30% below the 2.0-week target.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Every store-item in the sample table shows WOS vs Target of -0.6 to -0.7, confirming this is a chain-wide structural problem, not isolated to specific stores.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Energy Drink 12pk has the highest lost sales at $19,506 per store.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Extrapolated across 500 stores this item alone could represent ~$9.75M in annual lost sales — making it the single highest-priority replenishment action.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Kids Bubble Bath is the best performer at 96.2% in-stock.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Its higher WOS (1.5 vs target) suggests relatively stable demand and adequate replenishment cadence. This item's replenishment model can serve as a benchmark.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Increase safety stock for Beverages by 20%.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Energy Drink 12pk and Sparkling Water 8pk together represent the largest lost sales exposure. A 20% safety stock increase would absorb demand volatility during peak weeks.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Set a WOS early-warning alert at 1.5 weeks.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chain-wide average is already at 1.4 — below the alert threshold. Implementing a 1.5-week trigger gives the replenishment team a 1-week window to expedite before a stockout occurs.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 case pack sizing for low-velocity store-item combinations.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Items like Fresh Breeze Softener (82.7% in-stock) in lower-tier stores may be experiencing ordering hesitancy due to minimum case pack quantities relative to weekly velocity.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Potential Deliverable — Replenishment Health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In-stock rate by store ×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/ 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Replenishment Manager, Buyer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Lost sales dollar quantification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KPI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Sales VP, Account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WOS vs target alert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 with conditional formatting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Supply chain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Stockout trend 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visual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Always-on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 planning</w:t>
            </w:r>
          </w:p>
        </w:tc>
      </w:tr>
    </w:tbl>
    <w:p>
      <w:r>
        <w:br/>
        <w:t xml:space="preserve"/>
      </w:r>
      <w:r>
        <w:br w:type="page"/>
      </w:r>
    </w:p>
    <w:p>
      <w:pPr>
        <w:pBdr>
          <w:bottom w:val="single" w:color="2E75B6" w:sz="16" w:space="1"/>
        </w:pBdr>
        <w:spacing w:after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Page 4  · 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Promo Analytics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Trade spend ROI · Lift by mechanic · Incremental units by supplier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19.9%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Avg Promo Lift Pct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$496K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Total Trade Spend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2.56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Avg Trade ROI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150K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Incremental Units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Lift &amp; ROI by Promo Mechanic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Promo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Lift 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30.0%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Highest unit lift. Zero trade spend recorded — supplier-funded only. ROI not calculated (no cost basis).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25.0%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Second-highest lift. Significant trade investment (e.g. Energy Drink 12pk: $50,243). Moderate ROI ~11.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12.0%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Lowest lift but very high ROI (Dog Treats: 48.28, Energy Drink: 46.76) due to low trade cost.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TPR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15.0%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Mid-range lift. Highest trade spend overall (Dog Treats TPR: $36,162). ROI ~1.24 — lowest of paid mechanics.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Item × Mechanic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8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Promo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Lift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 Spend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Trade ROI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Dog Treats Chewy Bites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Dog Treats Chewy Bites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$1,460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48.28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Dog Treats Chewy Bites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$2,929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50.20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Dog Treats Chewy Bites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TPR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$36,162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Energy Drink 12pk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Energy Drink 12pk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$6,036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46.76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Energy Drink 12pk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$50,243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10.95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Display delivers the best ROI of any paid mechanic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at 46–48x return. At only $1,460–$6,036 in trade spend, Display is significantly underutilized relative to TPR. Reallocating even 10% of TPR budget to Display would improve total portfolio ROI.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TPR has the lowest ROI at ~1.24x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despite being the single largest trade spend category. For Dog Treats, TPR consumed $36,162 in trade spend for a 1.24x return — versus Feature at $2,929 for 50x. This imbalance should be corrected in the next JBP.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BOGO drives the highest lift at 30% with zero recorded trade cost.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If BOGO events are being funded entirely by the supplier, they represent the highest-value promotional mechanism in the portfolio — and should be expanded where Walmart allows.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Reallocate TPR budget toward Display and Feature.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Display ROI is 35–40x higher than TPR for the same items. Propose a trade spend reallocation in the next JBP: reduce TPR events by 20%, redirect spend to Display placement.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Expand BOGO events for high-velocity Beverages items.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Energy Drink 12pk and Sparkling Water 8pk have the highest velocity and would generate the most incremental units from BOGO lift. Negotiate BOGO calendar slots for Q3 and Q4.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Potential Deliverable — Trade Spend ROI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Promo ROI by mechanic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visual + 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Post-event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Trade Marketing, Sales 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Trade spend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 during promo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JBP promo calendar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Seasonal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Buyer, Category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Incremental lift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S&amp;OP, Finance</w:t>
            </w:r>
          </w:p>
        </w:tc>
      </w:tr>
    </w:tbl>
    <w:p>
      <w:r>
        <w:br/>
        <w:t xml:space="preserve"/>
      </w:r>
      <w:r>
        <w:br w:type="page"/>
      </w:r>
    </w:p>
    <w:p>
      <w:pPr>
        <w:pBdr>
          <w:bottom w:val="single" w:color="2E75B6" w:sz="16" w:space="1"/>
        </w:pBdr>
        <w:spacing w:after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Page 5  · 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Supply Chain — OTIF &amp; Supplier Scorecard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On-Time vs In-Full by supplier · OTIF fine exposure · Delivery timing split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59.8%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In-Full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54.2%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OTIF Rate (Walmart Std)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$304K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OTIF Fine Exposure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-1.0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Avg Days vs MABD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6.9%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Walmart Fault Rate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Supplier OTIF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100"/>
        <w:gridCol w:w="1760"/>
        <w:gridCol w:w="2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On-Time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In-Full 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OTIF Rate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On-Time Gap vs Goal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Scintilla Brands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93.5%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68.8%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64.5%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+3.5%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overall — strong on both dimensions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FreshCo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92.4%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54.3%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48.9%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+2.4%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On-time strong; in-full is the critical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Hydra Beauty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91.5%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68.1%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62.4%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+1.5%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Solid performer — in-full second-best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PetJoy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91.3%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45.7%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41.3%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+1.3%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On-time adequate; worst in-full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Peak Snacks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82.8%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50.5%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43.0%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-7.2%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Only supplier below on-time goal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59.8%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54.2%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+0.3%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Chain-wide OTIF well below 98.5% target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OTIF of 54.2% is dramatically below Walmart's 98.5% standard.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The gap is driven almost entirely by In-Full failures — On-Time rate of 90.3% is much closer to target. This means the core problem is order completeness (shortage units), not delivery timing.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PetJoy has the worst In-Full rate at 45.7%.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Less than half of PetJoy POs arrive in full. Given that Dog Treats Chewy Bites already shows 90.4% in-stock at the store level, further PetJoy In-Full failures will push this into critical territory.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Peak Snacks is the only supplier below the On-Time goal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at 82.8%. Combined with a 50.5% In-Full rate, Peak Snacks has the second-worst OTIF overall at 43.0%. Granola Clusters' near-flat YoY growth (+0.2%) may be partly explained by this supply disruption.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Walmart Fault Rate of 6.9% provides a defensible offset.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6.9% of late deliveries are attributable to Walmart — routing guide issues, DC congestion, or private fleet failures. This should be documented and presented in any OTIF dispute.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Delivery timing averages -1.0 days vs MABD — arriving early.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Early delivery is generally positive for in-stock but can cause DC receiving issues or advance charge-backs depending on the MABD window. Worth monitoring by supplier.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Issue formal In-Full corrective action to PetJoy and FreshCo.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Both suppliers show In-Full rates below 55%. A formal CAP (Corrective Action Plan) should be issued citing shortage units by PO, requesting root cause and 90-day improvement timeline.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Conduct On-Time review with Peak Snacks.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 82.8%, Peak Snacks is the only supplier missing the On-Time threshold. A carrier and routing audit should be conducted to identify whether late departures or transit delays are the root cause.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and submit Walmart Fault credits.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6.9% of OTIF failures are attributable to Walmart. Compile carrier-level evidence and submit for fine offset through the OTIF dispute portal to reduce the $304K exposure.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Potential Deliverable — Supplier OTIF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OTIF scorecard by supplier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/ 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Supply chain, Account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In-Full gap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 by 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Supplier, Logistics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OTIF dispute 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 + PDF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 needed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Walmart compliance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Fine exposure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KPI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Always-on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Finance, Sales VP</w:t>
            </w:r>
          </w:p>
        </w:tc>
      </w:tr>
    </w:tbl>
    <w:p>
      <w:r>
        <w:br/>
        <w:t xml:space="preserve"/>
      </w:r>
      <w:r>
        <w:br w:type="page"/>
      </w:r>
    </w:p>
    <w:p>
      <w:pPr>
        <w:pBdr>
          <w:bottom w:val="single" w:color="2E75B6" w:sz="16" w:space="1"/>
        </w:pBdr>
        <w:spacing w:after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Page 6  · 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Supply Chain — Fine Exposure &amp; Root Cause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OTIF fine quantification · Root cause by PO edit code · Eligibility analysis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36"/>
                <w:szCs w:val="36"/>
              </w:rPr>
              <w:t xml:space="preserve">$304K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OTIF Fine Exposure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36"/>
                <w:szCs w:val="36"/>
              </w:rPr>
              <w:t xml:space="preserve">41.0%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Fine Eligible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$1,430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Avg Fine / Non-Compliant 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213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Fine Eligible PO Lines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Fine Exposure by Root Cause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12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 Edit Reason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Fine Exposure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Product Availability (Supplier)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Largest share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~60%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Critical — supply constraint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Incorrect Labeling (Supplier)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Moderate share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— process/compliance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Item Setup Issue (Supplier)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Smaller share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 — onboarding/admin issue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Root cause 43 (No Product Availability) drives the majority of fine exposure.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This is a supply-side constraint — the supplier could not ship the ordered quantity. This directly connects to the In-Full failures seen on Page 5 and represents the highest-priority corrective action.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Root cause 47 (Incorrect Labeling) is a preventable compliance failure.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Labeling errors do not require a supply chain fix — they require a process fix. A pre-shipment label audit for every PO would eliminate this root cause category and reduce fine exposure by approximately $75K.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41% fine eligibility rate means 59% of non-compliant POs are disputable.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Over half of the OTIF failures may be offsettable through the dispute process — particularly where Walmart Fault Rate (6.9%) or carrier issues can be documented.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213 fine-eligible PO lines at $1,430 avg fine per line.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At scale across a full fiscal year, this exposure compounds significantly. Reducing fine-eligible PO lines by 30% would recover approximately $91K annually.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Implement pre-shipment label audit for all POs.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Root cause 47 (Incorrect Labeling) is entirely preventable. Add a mandatory label verification step to the outbound warehouse process. Cost of implementation is negligible vs ~$75K in annual fine avoidance.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Address root cause 43 through safety stock and PO confirmation.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Product Availability failures indicate the supplier accepted POs it could not fulfill. Implement a PO acceptance policy requiring confirmation of available inventory before acknowledgment.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Build a systematic OTIF dispute workflow.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With 59% of non-compliant POs potentially disputable, a structured monthly dispute submission process could recover $100K+ annually. Assign ownership to a specific team member with a 30-day submission SLA.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Potential Deliverable — OTIF Fine Exposure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Fine exposure by root cause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/ 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Finance, Supply chain 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 edit reason code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 by PO 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Logistics,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Dispute submission 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 + supporting 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Walmart compliance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Fine avoidance 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KPI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Always-on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Finance, Sales leadership</w:t>
            </w:r>
          </w:p>
        </w:tc>
      </w:tr>
    </w:tbl>
    <w:p>
      <w:r>
        <w:br/>
        <w:t xml:space="preserve"/>
      </w:r>
      <w:r>
        <w:br w:type="page"/>
      </w:r>
    </w:p>
    <w:p>
      <w:pPr>
        <w:pBdr>
          <w:bottom w:val="single" w:color="2E75B6" w:sz="16" w:space="1"/>
        </w:pBdr>
        <w:spacing w:after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Page 7  · 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Supply Chain — Carrier &amp; Freight Responsibility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Carrier OTIF by SCAC · MABD timing · Collect vs Prepaid · Delivery timing split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90.8%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Avg On-Time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36"/>
                <w:szCs w:val="36"/>
              </w:rPr>
              <w:t xml:space="preserve">55.0%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Avg Carrier OTIF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6.9%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Walmart Fault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36"/>
                <w:szCs w:val="36"/>
              </w:rPr>
              <w:t xml:space="preserve">-1.0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Avg Days vs MABD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Carrier Scorecard (Prepaid &amp; Collect)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00"/>
        <w:gridCol w:w="1200"/>
        <w:gridCol w:w="1100"/>
        <w:gridCol w:w="1100"/>
        <w:gridCol w:w="24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Carrier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Freight 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On-Time 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OTIF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Crete Carrier Corporation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Prepaid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47.6%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Perfect on-time; In-Full gap drives OTIF down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BYLR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Baylor Trucking Inc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Prepaid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94.1%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64.7%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overall OTIF — strongest performer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WENP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Werner Enterprises Inc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Prepaid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92.6%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63.6%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Strong across both dimensions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HJBT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J.B. Hunt Transport Inc (HJBT)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Prepaid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92.3%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60.3%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Solid — above average on both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SWFT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Swift Transportation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Prepaid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91.7%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On-time adequate; In-Full needs attention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WM Private Fleet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91.3%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Collect fleet on par with prepaid average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Prime Inc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Prepaid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90.0%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55.0%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Average performer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JBR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J.B. Hunt Transport Inc (JBR)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Prepaid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88.9%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55.6%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Slightly below on-time target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CTII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Central Transport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Prepaid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87.5%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43.8%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Below on-time; worst OTIF of the group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Schneider National Carriers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Prepaid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83.8%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47.5%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Worst on-time rate — needs audit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Delivery Timing vs MABD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carriers average -1.0 days vs MABD, meaning deliveries arrive approximately 1 day early on average. The Delivery Timing Split chart shows Peak Snacks and Hydra Beauty have the highest Late delivery percentages — consistent with their lower OTIF scores on Page 5.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Carrier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Days vs MABD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BYLR (Baylor)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-1.5 (earliest)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Consistently early — lowest MABD variance, most reliable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CRCR (Crete)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-1.0 to -1.5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Early but very high on-time — good routing discipline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SCDS (Schneider)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Near 0 or late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Cutting it close — contributing to on-time failures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CTII (Central)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Near 0 or late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Worst MABD adherence — carrier audit warranted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SCDS (Schneider) and CTII (Central Transport) are the underperforming carriers.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Schneider at 83.8% on-time and Central at 87.5% are both below the 90% floor. Both also show near-zero or positive Avg Days vs MABD, meaning they are not arriving early to buffer for variability.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CRCR (Crete Carrier) achieves 100% on-time but only 47.6% OTIF.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This confirms that In-Full failures are a supplier-side problem, not a carrier problem. When product is available and loaded correctly, Crete delivers it on time every time.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WM Private Fleet (Collect) performs on par with prepaid carriers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at 91.3% on-time / 50.0% OTIF. This is important for OTIF dispute filing: Walmart-controlled freight underperforming on OTIF constitutes Walmart fault, supporting dispute credit claims.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Freight type (Collect vs Prepaid) does not explain the OTIF gap.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Both modes operate at similar on-time rates (~91%). The OTIF problem is driven by In-Full rate, which is entirely a supplier and product availability issue, not a transportation mode issue.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Put Schneider National (SCDS) on a 90-day performance improvement plan.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 83.8% on-time, SCDS is the lowest-performing prepaid carrier. Issue a formal notice citing on-time rate and average MABD variance. Evaluate carrier substitution if 90-day target of 90%+ is not met.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 WM Private Fleet underperformance to support OTIF dispute credits.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WM Private Fleet (Collect) OTIF of 50.0% demonstrates that Walmart-controlled freight contributes to OTIF failures. Document PO lines shipped on Collect where delivery was late to build the dispute file.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Consolidate volume onto BYLR and WENP for high-value lanes.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Baylor (64.7% OTIF) and Werner (63.6% OTIF) are the strongest prepaid performers. Where lane choice is supplier-controlled, routing guide updates should favor these carriers for high-volume SKUs.</w:t>
            </w:r>
          </w:p>
        </w:tc>
      </w:tr>
    </w:tbl>
    <w:p>
      <w:pPr>
        <w:spacing w:after="180"/>
      </w:pPr>
    </w:p>
    <w:p>
      <w:pPr>
        <w:pBdr>
          <w:bottom w:val="single" w:color="2E75B6" w:sz="3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Potential Deliverable — Carrier Performance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Carrier OTIF scorecard by SCAC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/ 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Logistics, Transportation mgr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MABD timing analysis by carrier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Carrier relations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Collect vs Prepaid comparison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Power BI visual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Quarterly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Supply chain VP, Finance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OTIF dispute — WM fault evidence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 + carrier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2"/>
              <w:left w:type="dxa" w:w="108"/>
              <w:bottom w:type="dxa" w:w="72"/>
              <w:right w:type="dxa" w:w="108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Walmart compliance portal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2026-05-30T02:20:50.740Z</dcterms:created>
  <dcterms:modified xsi:type="dcterms:W3CDTF">2026-05-30T02:20:50.758Z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