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C6F6" w14:textId="77777777" w:rsidR="008E714C" w:rsidRPr="008E714C" w:rsidRDefault="008E714C" w:rsidP="008E714C">
      <w:pPr>
        <w:rPr>
          <w:b/>
          <w:bCs/>
        </w:rPr>
      </w:pPr>
      <w:r w:rsidRPr="008E714C">
        <w:rPr>
          <w:rFonts w:ascii="Segoe UI Emoji" w:hAnsi="Segoe UI Emoji" w:cs="Segoe UI Emoji"/>
          <w:b/>
          <w:bCs/>
        </w:rPr>
        <w:t>📄</w:t>
      </w:r>
      <w:r w:rsidRPr="008E714C">
        <w:rPr>
          <w:b/>
          <w:bCs/>
        </w:rPr>
        <w:t xml:space="preserve"> Methodische Begründung der Stichprobenverteilung auf der dritten Fläche</w:t>
      </w:r>
    </w:p>
    <w:p w14:paraId="05348DAF" w14:textId="77777777" w:rsidR="008E714C" w:rsidRPr="008E714C" w:rsidRDefault="008E714C" w:rsidP="008E714C">
      <w:r w:rsidRPr="008E714C">
        <w:t xml:space="preserve">Um die Vegetation dreier Untersuchungsflächen zu erfassen, wurde auf allen Flächen ein </w:t>
      </w:r>
      <w:proofErr w:type="spellStart"/>
      <w:r w:rsidRPr="008E714C">
        <w:t>Transekt</w:t>
      </w:r>
      <w:proofErr w:type="spellEnd"/>
      <w:r w:rsidRPr="008E714C">
        <w:t xml:space="preserve"> von Nord nach Süd angelegt, entlang dessen 1×1 m große Vegetationsaufnahmen durchgeführt wurden. Auf den beiden ersten Flächen wurden die Quadrate direkt benachbart entlang des </w:t>
      </w:r>
      <w:proofErr w:type="spellStart"/>
      <w:r w:rsidRPr="008E714C">
        <w:t>Transektes</w:t>
      </w:r>
      <w:proofErr w:type="spellEnd"/>
      <w:r w:rsidRPr="008E714C">
        <w:t xml:space="preserve"> gelegt, sodass auf 40 m </w:t>
      </w:r>
      <w:proofErr w:type="spellStart"/>
      <w:r w:rsidRPr="008E714C">
        <w:t>Transektlänge</w:t>
      </w:r>
      <w:proofErr w:type="spellEnd"/>
      <w:r w:rsidRPr="008E714C">
        <w:t xml:space="preserve"> jeweils etwa 55 Quadrate aufgenommen wurden.</w:t>
      </w:r>
    </w:p>
    <w:p w14:paraId="4C2C1C89" w14:textId="77777777" w:rsidR="008E714C" w:rsidRPr="008E714C" w:rsidRDefault="008E714C" w:rsidP="008E714C">
      <w:r w:rsidRPr="008E714C">
        <w:t xml:space="preserve">Die dritte Fläche weist eine deutlich größere Ausdehnung auf, weshalb das </w:t>
      </w:r>
      <w:proofErr w:type="spellStart"/>
      <w:r w:rsidRPr="008E714C">
        <w:t>Transekt</w:t>
      </w:r>
      <w:proofErr w:type="spellEnd"/>
      <w:r w:rsidRPr="008E714C">
        <w:t xml:space="preserve"> dort auf 120 m verlängert wurde. Aus arbeitsökonomischen Gründen sowie zur besseren Repräsentation der gesamten Flächenausdehnung wurden die 55 Quadrate dort nicht unmittelbar nebeneinander, sondern in regelmäßigem Abstand entlang des gesamten </w:t>
      </w:r>
      <w:proofErr w:type="spellStart"/>
      <w:r w:rsidRPr="008E714C">
        <w:t>Transektes</w:t>
      </w:r>
      <w:proofErr w:type="spellEnd"/>
      <w:r w:rsidRPr="008E714C">
        <w:t xml:space="preserve"> verteilt. Der Abstand zwischen den Mittelpunkten der Quadrate beträgt hierbei ca. 2,2 m. Somit wurde auch auf dieser Fläche die gleiche Anzahl an Stichproben erhoben, jedoch mit einer größeren räumlichen Streuung.</w:t>
      </w:r>
    </w:p>
    <w:p w14:paraId="534F82D1" w14:textId="77777777" w:rsidR="008E714C" w:rsidRPr="008E714C" w:rsidRDefault="008E714C" w:rsidP="008E714C">
      <w:r w:rsidRPr="008E714C">
        <w:t xml:space="preserve">Diese Anpassung verfolgt zwei Ziele: Einerseits soll durch die gleichbleibende Anzahl und Größe der Aufnahmen die Vergleichbarkeit der drei Flächen gewahrt bleiben. Andererseits erlaubt die größere Streuung der Probenpunkte auf der dritten Fläche eine bessere Abbildung der potenziell höheren räumlichen Heterogenität dieser Fläche. Dies ist besonders relevant, da sich mit zunehmender Flächengröße meist auch die Umweltvariabilität sowie die strukturelle Diversität erhöhen (vgl. Scheiner et al. 2000; </w:t>
      </w:r>
      <w:proofErr w:type="spellStart"/>
      <w:r w:rsidRPr="008E714C">
        <w:t>Chytrý</w:t>
      </w:r>
      <w:proofErr w:type="spellEnd"/>
      <w:r w:rsidRPr="008E714C">
        <w:t xml:space="preserve"> &amp; </w:t>
      </w:r>
      <w:proofErr w:type="spellStart"/>
      <w:r w:rsidRPr="008E714C">
        <w:t>Otýpková</w:t>
      </w:r>
      <w:proofErr w:type="spellEnd"/>
      <w:r w:rsidRPr="008E714C">
        <w:t xml:space="preserve"> 2003).</w:t>
      </w:r>
    </w:p>
    <w:p w14:paraId="2C5A7DF8" w14:textId="77777777" w:rsidR="008E714C" w:rsidRPr="008E714C" w:rsidRDefault="008E714C" w:rsidP="008E714C">
      <w:r w:rsidRPr="008E714C">
        <w:t>Die Entscheidung, bei gleichbleibender Quadratanzahl auf eine gestreckte Anordnung auszuweichen, stellt somit einen methodischen Kompromiss dar: Sie erhält die grundsätzliche Vergleichbarkeit der Flächen in Bezug auf Stichprobengröße und Erhebungsaufwand, erlaubt jedoch zugleich eine bessere flächenbezogene Repräsentativität auf der größten Untersuchungsfläche. Angesichts der geringen Anzahl untersuchter Flächen (n = 3) ist eine maximale Standardisierung ohnehin nicht zielführend, da statistisch robuste Vergleiche ohnehin nicht möglich sind. Vorrangig ist daher eine angemessene Erfassung der Vegetationsmuster innerhalb jeder Fläche, um qualitative Unterschiede und ökologische Zusammenhänge plausibel beschreiben zu können.</w:t>
      </w:r>
    </w:p>
    <w:p w14:paraId="269F581B" w14:textId="77777777" w:rsidR="008E714C" w:rsidRPr="008E714C" w:rsidRDefault="008E714C" w:rsidP="008E714C">
      <w:r w:rsidRPr="008E714C">
        <w:pict w14:anchorId="46EDC24C">
          <v:rect id="_x0000_i1031" style="width:0;height:1.5pt" o:hralign="center" o:hrstd="t" o:hr="t" fillcolor="#a0a0a0" stroked="f"/>
        </w:pict>
      </w:r>
    </w:p>
    <w:p w14:paraId="4A03C273" w14:textId="77777777" w:rsidR="008E714C" w:rsidRPr="008E714C" w:rsidRDefault="008E714C" w:rsidP="008E714C">
      <w:pPr>
        <w:rPr>
          <w:b/>
          <w:bCs/>
        </w:rPr>
      </w:pPr>
      <w:r w:rsidRPr="008E714C">
        <w:rPr>
          <w:rFonts w:ascii="Segoe UI Emoji" w:hAnsi="Segoe UI Emoji" w:cs="Segoe UI Emoji"/>
          <w:b/>
          <w:bCs/>
        </w:rPr>
        <w:t>📚</w:t>
      </w:r>
      <w:r w:rsidRPr="008E714C">
        <w:rPr>
          <w:b/>
          <w:bCs/>
        </w:rPr>
        <w:t xml:space="preserve"> Optional: Literaturhinweise (Beispiele)</w:t>
      </w:r>
    </w:p>
    <w:p w14:paraId="0D4789ED" w14:textId="77777777" w:rsidR="008E714C" w:rsidRPr="008E714C" w:rsidRDefault="008E714C" w:rsidP="008E714C">
      <w:r w:rsidRPr="008E714C">
        <w:t>Falls du Literatur zur Untermauerung brauchst, hier einige passende Quellen:</w:t>
      </w:r>
    </w:p>
    <w:p w14:paraId="0C82FBE7" w14:textId="77777777" w:rsidR="008E714C" w:rsidRPr="008E714C" w:rsidRDefault="008E714C" w:rsidP="008E714C">
      <w:pPr>
        <w:numPr>
          <w:ilvl w:val="0"/>
          <w:numId w:val="1"/>
        </w:numPr>
        <w:rPr>
          <w:lang w:val="en-GB"/>
        </w:rPr>
      </w:pPr>
      <w:r w:rsidRPr="008E714C">
        <w:t xml:space="preserve">Scheiner, S. M., Cox, S. B., Willig, M. R., Mittelbach, G. G., Osenberg, C., &amp; Kaspari, M. (2000). </w:t>
      </w:r>
      <w:r w:rsidRPr="008E714C">
        <w:rPr>
          <w:i/>
          <w:iCs/>
          <w:lang w:val="en-GB"/>
        </w:rPr>
        <w:t>Species richness, species–area curves and Simpson's paradox.</w:t>
      </w:r>
      <w:r w:rsidRPr="008E714C">
        <w:rPr>
          <w:lang w:val="en-GB"/>
        </w:rPr>
        <w:t xml:space="preserve"> Evolutionary Ecology Research, </w:t>
      </w:r>
      <w:r w:rsidRPr="008E714C">
        <w:rPr>
          <w:b/>
          <w:bCs/>
          <w:lang w:val="en-GB"/>
        </w:rPr>
        <w:t>2</w:t>
      </w:r>
      <w:r w:rsidRPr="008E714C">
        <w:rPr>
          <w:lang w:val="en-GB"/>
        </w:rPr>
        <w:t>(7), 791–802.</w:t>
      </w:r>
    </w:p>
    <w:p w14:paraId="1806863E" w14:textId="77777777" w:rsidR="008E714C" w:rsidRPr="008E714C" w:rsidRDefault="008E714C" w:rsidP="008E714C">
      <w:pPr>
        <w:numPr>
          <w:ilvl w:val="0"/>
          <w:numId w:val="1"/>
        </w:numPr>
      </w:pPr>
      <w:proofErr w:type="spellStart"/>
      <w:r w:rsidRPr="008E714C">
        <w:rPr>
          <w:lang w:val="en-GB"/>
        </w:rPr>
        <w:t>Chytrý</w:t>
      </w:r>
      <w:proofErr w:type="spellEnd"/>
      <w:r w:rsidRPr="008E714C">
        <w:rPr>
          <w:lang w:val="en-GB"/>
        </w:rPr>
        <w:t xml:space="preserve">, M., &amp; </w:t>
      </w:r>
      <w:proofErr w:type="spellStart"/>
      <w:r w:rsidRPr="008E714C">
        <w:rPr>
          <w:lang w:val="en-GB"/>
        </w:rPr>
        <w:t>Otýpková</w:t>
      </w:r>
      <w:proofErr w:type="spellEnd"/>
      <w:r w:rsidRPr="008E714C">
        <w:rPr>
          <w:lang w:val="en-GB"/>
        </w:rPr>
        <w:t xml:space="preserve">, Z. (2003). </w:t>
      </w:r>
      <w:r w:rsidRPr="008E714C">
        <w:rPr>
          <w:i/>
          <w:iCs/>
          <w:lang w:val="en-GB"/>
        </w:rPr>
        <w:t>Plot sizes used for phytosociological sampling of European vegetation.</w:t>
      </w:r>
      <w:r w:rsidRPr="008E714C">
        <w:rPr>
          <w:lang w:val="en-GB"/>
        </w:rPr>
        <w:t xml:space="preserve"> </w:t>
      </w:r>
      <w:r w:rsidRPr="008E714C">
        <w:t xml:space="preserve">Journal </w:t>
      </w:r>
      <w:proofErr w:type="spellStart"/>
      <w:r w:rsidRPr="008E714C">
        <w:t>of</w:t>
      </w:r>
      <w:proofErr w:type="spellEnd"/>
      <w:r w:rsidRPr="008E714C">
        <w:t xml:space="preserve"> Vegetation Science, </w:t>
      </w:r>
      <w:r w:rsidRPr="008E714C">
        <w:rPr>
          <w:b/>
          <w:bCs/>
        </w:rPr>
        <w:t>14</w:t>
      </w:r>
      <w:r w:rsidRPr="008E714C">
        <w:t>(4), 563–570.</w:t>
      </w:r>
    </w:p>
    <w:p w14:paraId="4D58AA46" w14:textId="77777777" w:rsidR="008E714C" w:rsidRPr="008E714C" w:rsidRDefault="008E714C" w:rsidP="008E714C">
      <w:pPr>
        <w:numPr>
          <w:ilvl w:val="0"/>
          <w:numId w:val="1"/>
        </w:numPr>
        <w:rPr>
          <w:lang w:val="en-GB"/>
        </w:rPr>
      </w:pPr>
      <w:r w:rsidRPr="008E714C">
        <w:rPr>
          <w:lang w:val="en-GB"/>
        </w:rPr>
        <w:t xml:space="preserve">McCune, B., &amp; Grace, J. B. (2002). </w:t>
      </w:r>
      <w:r w:rsidRPr="008E714C">
        <w:rPr>
          <w:i/>
          <w:iCs/>
          <w:lang w:val="en-GB"/>
        </w:rPr>
        <w:t>Analysis of Ecological Communities.</w:t>
      </w:r>
      <w:r w:rsidRPr="008E714C">
        <w:rPr>
          <w:lang w:val="en-GB"/>
        </w:rPr>
        <w:t xml:space="preserve"> </w:t>
      </w:r>
      <w:proofErr w:type="spellStart"/>
      <w:r w:rsidRPr="008E714C">
        <w:rPr>
          <w:lang w:val="en-GB"/>
        </w:rPr>
        <w:t>MjM</w:t>
      </w:r>
      <w:proofErr w:type="spellEnd"/>
      <w:r w:rsidRPr="008E714C">
        <w:rPr>
          <w:lang w:val="en-GB"/>
        </w:rPr>
        <w:t xml:space="preserve"> Software Design.</w:t>
      </w:r>
    </w:p>
    <w:p w14:paraId="4FFC25E4" w14:textId="77777777" w:rsidR="00493D44" w:rsidRPr="008E714C" w:rsidRDefault="00493D44">
      <w:pPr>
        <w:rPr>
          <w:lang w:val="en-GB"/>
        </w:rPr>
      </w:pPr>
    </w:p>
    <w:sectPr w:rsidR="00493D44" w:rsidRPr="008E71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74B43"/>
    <w:multiLevelType w:val="multilevel"/>
    <w:tmpl w:val="1558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4C"/>
    <w:rsid w:val="000A5675"/>
    <w:rsid w:val="00356A38"/>
    <w:rsid w:val="00392691"/>
    <w:rsid w:val="003D3D91"/>
    <w:rsid w:val="0043616B"/>
    <w:rsid w:val="00493D44"/>
    <w:rsid w:val="004A4268"/>
    <w:rsid w:val="008B108C"/>
    <w:rsid w:val="008E714C"/>
    <w:rsid w:val="00A5391C"/>
    <w:rsid w:val="00DC6EC9"/>
    <w:rsid w:val="00F362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98A8"/>
  <w15:chartTrackingRefBased/>
  <w15:docId w15:val="{3207D95E-5716-428D-B0CA-DCFEE1F8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E7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E7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E714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E714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E714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E714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714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714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714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714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E714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E714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E714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E714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E714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714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714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714C"/>
    <w:rPr>
      <w:rFonts w:eastAsiaTheme="majorEastAsia" w:cstheme="majorBidi"/>
      <w:color w:val="272727" w:themeColor="text1" w:themeTint="D8"/>
    </w:rPr>
  </w:style>
  <w:style w:type="paragraph" w:styleId="Titel">
    <w:name w:val="Title"/>
    <w:basedOn w:val="Standard"/>
    <w:next w:val="Standard"/>
    <w:link w:val="TitelZchn"/>
    <w:uiPriority w:val="10"/>
    <w:qFormat/>
    <w:rsid w:val="008E7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714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714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714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714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714C"/>
    <w:rPr>
      <w:i/>
      <w:iCs/>
      <w:color w:val="404040" w:themeColor="text1" w:themeTint="BF"/>
    </w:rPr>
  </w:style>
  <w:style w:type="paragraph" w:styleId="Listenabsatz">
    <w:name w:val="List Paragraph"/>
    <w:basedOn w:val="Standard"/>
    <w:uiPriority w:val="34"/>
    <w:qFormat/>
    <w:rsid w:val="008E714C"/>
    <w:pPr>
      <w:ind w:left="720"/>
      <w:contextualSpacing/>
    </w:pPr>
  </w:style>
  <w:style w:type="character" w:styleId="IntensiveHervorhebung">
    <w:name w:val="Intense Emphasis"/>
    <w:basedOn w:val="Absatz-Standardschriftart"/>
    <w:uiPriority w:val="21"/>
    <w:qFormat/>
    <w:rsid w:val="008E714C"/>
    <w:rPr>
      <w:i/>
      <w:iCs/>
      <w:color w:val="2F5496" w:themeColor="accent1" w:themeShade="BF"/>
    </w:rPr>
  </w:style>
  <w:style w:type="paragraph" w:styleId="IntensivesZitat">
    <w:name w:val="Intense Quote"/>
    <w:basedOn w:val="Standard"/>
    <w:next w:val="Standard"/>
    <w:link w:val="IntensivesZitatZchn"/>
    <w:uiPriority w:val="30"/>
    <w:qFormat/>
    <w:rsid w:val="008E7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E714C"/>
    <w:rPr>
      <w:i/>
      <w:iCs/>
      <w:color w:val="2F5496" w:themeColor="accent1" w:themeShade="BF"/>
    </w:rPr>
  </w:style>
  <w:style w:type="character" w:styleId="IntensiverVerweis">
    <w:name w:val="Intense Reference"/>
    <w:basedOn w:val="Absatz-Standardschriftart"/>
    <w:uiPriority w:val="32"/>
    <w:qFormat/>
    <w:rsid w:val="008E71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6398">
      <w:bodyDiv w:val="1"/>
      <w:marLeft w:val="0"/>
      <w:marRight w:val="0"/>
      <w:marTop w:val="0"/>
      <w:marBottom w:val="0"/>
      <w:divBdr>
        <w:top w:val="none" w:sz="0" w:space="0" w:color="auto"/>
        <w:left w:val="none" w:sz="0" w:space="0" w:color="auto"/>
        <w:bottom w:val="none" w:sz="0" w:space="0" w:color="auto"/>
        <w:right w:val="none" w:sz="0" w:space="0" w:color="auto"/>
      </w:divBdr>
      <w:divsChild>
        <w:div w:id="810514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720349">
      <w:bodyDiv w:val="1"/>
      <w:marLeft w:val="0"/>
      <w:marRight w:val="0"/>
      <w:marTop w:val="0"/>
      <w:marBottom w:val="0"/>
      <w:divBdr>
        <w:top w:val="none" w:sz="0" w:space="0" w:color="auto"/>
        <w:left w:val="none" w:sz="0" w:space="0" w:color="auto"/>
        <w:bottom w:val="none" w:sz="0" w:space="0" w:color="auto"/>
        <w:right w:val="none" w:sz="0" w:space="0" w:color="auto"/>
      </w:divBdr>
      <w:divsChild>
        <w:div w:id="2053192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387</Words>
  <Characters>2441</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Nele Herzig</dc:creator>
  <cp:keywords/>
  <dc:description/>
  <cp:lastModifiedBy>Nele Herzig</cp:lastModifiedBy>
  <cp:revision>1</cp:revision>
  <dcterms:created xsi:type="dcterms:W3CDTF">2025-07-05T13:32:00Z</dcterms:created>
  <dcterms:modified xsi:type="dcterms:W3CDTF">2025-07-05T13:33:00Z</dcterms:modified>
</cp:coreProperties>
</file>