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pacing w:val="40"/>
          <w:sz w:val="52"/>
          <w:szCs w:val="52"/>
        </w:rPr>
        <w:t xml:space="preserve">BANCO FEDERAL DE FINANÇAS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1F2937"/>
          <w:sz w:val="28"/>
          <w:szCs w:val="28"/>
        </w:rPr>
        <w:t xml:space="preserve">Marketing Campaign Analysis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by North Wind Consulting</w:t>
      </w:r>
    </w:p>
    <w:p>
      <w:pPr>
        <w:pBdr>
          <w:bottom w:val="single" w:color="E5E7EB" w:sz="6" w:space="4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8472"/>
          <w:sz w:val="36"/>
          <w:szCs w:val="36"/>
        </w:rPr>
        <w:t xml:space="preserve">1  </w:t>
      </w: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The Spray-and-Pray Tax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the three years of your campaign, the month of May had the most calls, totalling 12,370 contacts. You lost –$2.61 on each of those calls. In May you did not hold back at all in your calling and reached out to thousands of people in low-conversion groups that almost always lose money. By contrast, in high-conversion months you called 1,815 people and made $15.58 per call.</w:t>
      </w:r>
    </w:p>
    <w:tbl>
      <w:tblPr>
        <w:tblW w:type="dxa" w:w="9360"/>
        <w:tblBorders>
          <w:top w:val="single" w:color="1F8472" w:sz="8"/>
          <w:left w:val="none" w:color="FFFFFF" w:sz="0"/>
          <w:bottom w:val="single" w:color="1F8472" w:sz="8"/>
          <w:right w:val="none" w:color="FFFFFF" w:sz="0"/>
          <w:insideH w:val="none" w:color="FFFFFF" w:sz="0"/>
          <w:insideV w:val="single" w:color="E5E7EB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8FAF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6B7280"/>
                <w:spacing w:val="30"/>
                <w:sz w:val="16"/>
                <w:szCs w:val="16"/>
              </w:rPr>
              <w:t xml:space="preserve">May mass calls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5539"/>
                <w:sz w:val="36"/>
                <w:szCs w:val="36"/>
              </w:rPr>
              <w:t xml:space="preserve">–$2.61</w:t>
            </w:r>
          </w:p>
        </w:tc>
        <w:tc>
          <w:tcPr>
            <w:tcW w:type="dxa" w:w="3120"/>
            <w:shd w:fill="F8FAF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6B7280"/>
                <w:spacing w:val="30"/>
                <w:sz w:val="16"/>
                <w:szCs w:val="16"/>
              </w:rPr>
              <w:t xml:space="preserve">Campaign average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5539"/>
                <w:sz w:val="36"/>
                <w:szCs w:val="36"/>
              </w:rPr>
              <w:t xml:space="preserve">–$0.43</w:t>
            </w:r>
          </w:p>
        </w:tc>
        <w:tc>
          <w:tcPr>
            <w:tcW w:type="dxa" w:w="3120"/>
            <w:shd w:fill="F8FAFB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6B7280"/>
                <w:spacing w:val="30"/>
                <w:sz w:val="16"/>
                <w:szCs w:val="16"/>
              </w:rPr>
              <w:t xml:space="preserve">Targeted months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8472"/>
                <w:sz w:val="36"/>
                <w:szCs w:val="36"/>
              </w:rPr>
              <w:t xml:space="preserve">$15.58</w:t>
            </w:r>
          </w:p>
        </w:tc>
      </w:tr>
    </w:tbl>
    <w:p>
      <w:pPr>
        <w:spacing w:after="60" w:before="200"/>
        <w:jc w:val="center"/>
      </w:pPr>
      <w:r>
        <w:drawing>
          <wp:inline distT="0" distB="0" distL="0" distR="0">
            <wp:extent cx="3905250" cy="3590925"/>
            <wp:effectExtent t="0" r="0" b="0" l="0"/>
            <wp:docPr id="1" name="value_per_call_story.png" descr="value_per_call_story.png" title="value_per_call_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 Value per call across May mass calls, campaign average, and targeted months.</w:t>
      </w:r>
    </w:p>
    <w:p>
      <w:pPr>
        <w:spacing w:after="160" w:before="12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targeted approach focused on high-value demographics is the answer; scaling that approach is the challenge. Our machine-learning (ML) model serves as the bridge between quantity and quality, allowing high-value campaigns to be scaled across tens of thousands of high-value prospects.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8472"/>
          <w:sz w:val="36"/>
          <w:szCs w:val="36"/>
        </w:rPr>
        <w:t xml:space="preserve">2  </w:t>
      </w: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What We Can Do for You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 built our model to help you reach consumers who are in need of your services — and to help you make money. In a recent trial campaign, you called 410 people and lost $157. Our model would have turned that $157 deficit into an $824 profit.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your next proposed campaign, contacting all 4,100 people on your call list will likely lead to a loss of approximately $1,600. We project that once running your call list through our model, you will make $7,300 by stripping your list down to the 480 highest-value prospects.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campaign_value.png" descr="campaign_value.png" title="campaign_va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2.  Recent 410-contact test (left) and the projected 4,119-contact campaign (right), with and without the model.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8472"/>
          <w:sz w:val="36"/>
          <w:szCs w:val="36"/>
        </w:rPr>
        <w:t xml:space="preserve">3  </w:t>
      </w: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People to Call — and People Not 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 maximize resource efficiency, our model cleanly separates the database into high-yield priority targets and immediate-skip candidates.</w:t>
      </w:r>
    </w:p>
    <w:p>
      <w:pPr>
        <w:spacing w:after="120" w:before="120" w:line="300"/>
        <w:jc w:val="both"/>
      </w:pPr>
      <w:r>
        <w:rPr>
          <w:rFonts w:ascii="Calibri" w:cs="Calibri" w:eastAsia="Calibri" w:hAnsi="Calibri"/>
          <w:b/>
          <w:bCs/>
          <w:color w:val="1F8472"/>
          <w:sz w:val="22"/>
          <w:szCs w:val="22"/>
        </w:rPr>
        <w:t xml:space="preserve">The Golden List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focuses entirely on our high-conversion groups. At the very top are previously converted customers, who boast a phenomenal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65.8%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conversion rate. Recognizing this massive opportunity, the model shifts this group from a tiny 3% of our historical call list up to 21% of our total outreach.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Similarly, students and retirees exhibit exceptionally strong conversion rates at 31.4% and 25.2% respectively. Retirees are a particularly prime audience; they represent high-liquidity accounts actively looking to lock in reliable term-deposit yields during fluctuating economic climates. To capture this capital, the model scales our retiree outreach from a baseline of just 5% up to 23%.</w:t>
      </w:r>
    </w:p>
    <w:p>
      <w:pPr>
        <w:spacing w:after="120" w:before="120" w:line="300"/>
        <w:jc w:val="both"/>
      </w:pPr>
      <w:r>
        <w:rPr>
          <w:rFonts w:ascii="Calibri" w:cs="Calibri" w:eastAsia="Calibri" w:hAnsi="Calibri"/>
          <w:b/>
          <w:bCs/>
          <w:color w:val="C65539"/>
          <w:sz w:val="22"/>
          <w:szCs w:val="22"/>
        </w:rPr>
        <w:t xml:space="preserve">In stark contrast, the Black List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identifies the high-waste groups where our budget goes to die. Customers contacted via traditional landlines (5.3% conversion) and those in blue-collar employment blocks (6.8% conversion) drastically underperform our baseline.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Historically, these two segments clogged our pipeline, consuming a staggering 58% of all marketing calls while returning almost no value. The model aggressively prunes this dead weight, shrinking their combined presence on the call list down to a lean 11% so our team stops wasting time on dead ends.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golden_blacklist.png" descr="golden_blacklist.png" title="golden_black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3.  Conversion rates by segment (left) and the resulting call-list reshape (right).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8472"/>
          <w:sz w:val="36"/>
          <w:szCs w:val="36"/>
        </w:rPr>
        <w:t xml:space="preserve">4  </w:t>
      </w: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Steps for Improvement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best metric we currently have to target the value of a customer is how likely they are to place money in a CD. To project the cost and value of each call we use the average time on a call (30 min) and the average amount of money placed in a CD ($4,700).</w:t>
      </w:r>
    </w:p>
    <w:p>
      <w:pPr>
        <w:keepNext/>
        <w:keepLines/>
        <w:pBdr>
          <w:top w:val="single" w:color="E5E7EB" w:sz="6" w:space="8"/>
        </w:pBdr>
        <w:spacing w:after="80" w:before="360"/>
      </w:pPr>
      <w:r>
        <w:t xml:space="preserve"/>
      </w:r>
    </w:p>
    <w:p>
      <w:pPr>
        <w:keepNext/>
        <w:keepLines/>
        <w:spacing w:after="80" w:before="80"/>
        <w:jc w:val="left"/>
      </w:pPr>
      <w:r>
        <w:rPr>
          <w:rFonts w:ascii="Calibri" w:cs="Calibri" w:eastAsia="Calibri" w:hAnsi="Calibri"/>
          <w:b/>
          <w:bCs/>
          <w:caps/>
          <w:color w:val="6B7280"/>
          <w:spacing w:val="30"/>
          <w:sz w:val="18"/>
          <w:szCs w:val="18"/>
        </w:rPr>
        <w:t xml:space="preserve">APPENDIX  ·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Methodology &amp; Code</w:t>
      </w:r>
    </w:p>
    <w:p>
      <w:pPr>
        <w:keepLines/>
        <w:spacing w:after="12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Full analysis notebook, model definition, and reproduction steps are available as a GitHub gist: 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[paste gist link here]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North Wind Consulting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pacing w:val="20"/>
        <w:sz w:val="16"/>
        <w:szCs w:val="16"/>
      </w:rPr>
      <w:t xml:space="preserve">Banco Federal de Finanças  ·  Marketing Campaign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230902252c12e1180358878cd6078bcea32eef.png"/><Relationship Id="rId10" Type="http://schemas.openxmlformats.org/officeDocument/2006/relationships/image" Target="media/086085f736ddf8cce0e64cdb4fb3119805e20980.png"/><Relationship Id="rId11" Type="http://schemas.openxmlformats.org/officeDocument/2006/relationships/image" Target="media/0c1556f30aee43467929838fb543a1c81465c2c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Federal de Finanças — Marketing Campaign Analysis</dc:title>
  <dc:creator>North Wind Consulting</dc:creator>
  <cp:lastModifiedBy>Un-named</cp:lastModifiedBy>
  <cp:revision>1</cp:revision>
  <dcterms:created xsi:type="dcterms:W3CDTF">2026-05-16T22:40:15.527Z</dcterms:created>
  <dcterms:modified xsi:type="dcterms:W3CDTF">2026-05-16T22:40:15.527Z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