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b/>
          <w:color w:val="787878"/>
          <w:sz w:val="17"/>
        </w:rPr>
        <w:t>ISY0101 - INGENIERÍA DE SOLUCIONES CON IA | DUOC UC</w:t>
        <w:br/>
        <w:t>EVALUACIÓN PARCIAL N°1 - ENCARGO CON PRESENTACIÓN</w:t>
      </w:r>
    </w:p>
    <w:p>
      <w:pPr>
        <w:spacing w:before="120" w:after="40"/>
      </w:pPr>
      <w:r>
        <w:rPr>
          <w:b/>
          <w:color w:val="003399"/>
          <w:sz w:val="34"/>
        </w:rPr>
        <w:t>Diseño e Implementación de Solución Agéntica con LLM y RAG:</w:t>
        <w:br/>
        <w:t>Asesor Financiero y de Garantías PYME ('PYME-Advisor')</w:t>
      </w:r>
    </w:p>
    <w:p>
      <w:pPr>
        <w:spacing w:after="240"/>
      </w:pPr>
      <w:r>
        <w:rPr>
          <w:i/>
          <w:color w:val="646464"/>
          <w:sz w:val="19"/>
        </w:rPr>
        <w:t>Caso de Estudio: BancoEstado Microempresas | Integrantes: Juan Serna, Bárbara Bustamante, Nelson Carrasco | Fecha: Septiembre 2026</w:t>
      </w:r>
    </w:p>
    <w:p>
      <w:pPr>
        <w:pStyle w:val="Heading1"/>
        <w:spacing w:before="200" w:after="80"/>
      </w:pPr>
      <w:r>
        <w:rPr>
          <w:b/>
          <w:color w:val="003399"/>
          <w:sz w:val="24"/>
        </w:rPr>
        <w:t>1. Análisis del Caso Organizacional y Requerimientos de IA (IE1)</w:t>
      </w:r>
    </w:p>
    <w:p>
      <w:pPr>
        <w:spacing w:after="80"/>
      </w:pPr>
      <w:r>
        <w:t>En Chile, las micro y pequeñas empresas representan el 98,6% del tejido productivo formal, pero sufren una fricción crediticia superior al 45% debido a la complejidad en la interpretación de los manuales de riesgo comercial y al cálculo manual de balances indexados en Unidades de Fomento (UF) (Ministerio de Economía, 2024). En BancoEstado Microempresas, principal entidad de fomento e inclusión financiera del país, el levantamiento manual de antecedentes en sucursales genera demoras de entre 7 y 10 días hábiles por prospecto. La sobrecarga de los ejecutivos conduce frecuentemente a interpretaciones dispares de las normativas de apalancamiento (leverage), morosidad en el Boletín Comercial y elegibilidad para fondos estatales de fianza como FOGAPE.</w:t>
      </w:r>
    </w:p>
    <w:p>
      <w:pPr>
        <w:spacing w:after="120"/>
      </w:pPr>
      <w:r>
        <w:rPr>
          <w:color w:val="282828"/>
        </w:rPr>
        <w:t xml:space="preserve">Para abordar este problema, se diseñó e implementó </w:t>
      </w:r>
      <w:r>
        <w:rPr>
          <w:b/>
        </w:rPr>
        <w:t>PYME-Advisor</w:t>
      </w:r>
      <w:r>
        <w:t>, una solución de software inteligente basada en un agente autónomo LLM con arquitectura RAG (Retrieval-Augmented Generation) y herramientas de consulta en tiempo real. Los objetivos específicos de la intervención son: (1) reducir el tiempo de respuesta preliminar de 7 días a menos de 2 segundos; (2) asegurar un índice de fidelidad normativa (groundedness) superior al 95% para eliminar alucinaciones en condiciones de crédito; (3) integrar la API pública mindicador.cl (indicadores publicados por el Banco Central de Chile) para resolver la indexación dinámica de UF a pesos chilenos ($CLP); y (4) personalizar el dictamen recomendando el producto financiero idóneo (Capital de Trabajo, Leasing o Factoring).</w:t>
      </w:r>
    </w:p>
    <w:p>
      <w:pPr>
        <w:spacing w:after="120"/>
      </w:pPr>
      <w:r>
        <w:rPr>
          <w:b/>
        </w:rPr>
        <w:t xml:space="preserve">Alcance del caso: </w:t>
      </w:r>
      <w:r>
        <w:t>la organización es real, pero el Manual de Políticas de Crédito, el Catálogo de Productos y la base de clientes son documentos simulados construidos por el equipo para el prototipo; no corresponden a normativa interna oficial de BancoEstado. Los tiempos de proceso actuales (7 a 10 días) son un supuesto de diseño del equipo.</w:t>
      </w:r>
    </w:p>
    <w:p>
      <w:pPr>
        <w:pStyle w:val="Heading1"/>
        <w:spacing w:before="200" w:after="80"/>
      </w:pPr>
      <w:r>
        <w:rPr>
          <w:b/>
          <w:color w:val="003399"/>
          <w:sz w:val="24"/>
        </w:rPr>
        <w:t>2. Formulación y Justificación de Prompts Optimizados (IE2)</w:t>
      </w:r>
    </w:p>
    <w:p>
      <w:pPr>
        <w:spacing w:after="80"/>
      </w:pPr>
      <w:r>
        <w:t>El diseño del prompt del sistema (System Prompt) y las directrices de inferencia se fundamentan en técnicas de Prompt Engineering estructurado, integrando definición de rol experto, guardrails de prudencia financiera y aprendizaje contextual en pocas muestras (Few-Shot Prompting):</w:t>
      </w:r>
    </w:p>
    <w:tbl>
      <w:tblPr>
        <w:tblW w:type="auto" w:w="0"/>
        <w:jc w:val="center"/>
        <w:tblLook w:firstColumn="1" w:firstRow="1" w:lastColumn="0" w:lastRow="0" w:noHBand="0" w:noVBand="1" w:val="04A0"/>
      </w:tblPr>
      <w:tblGrid>
        <w:gridCol w:w="9936"/>
      </w:tblGrid>
      <w:tr>
        <w:tc>
          <w:tcPr>
            <w:tcW w:type="dxa" w:w="9936"/>
            <w:shd w:fill="F1F5F9"/>
          </w:tcPr>
          <w:p>
            <w:pPr>
              <w:spacing w:before="60" w:after="60"/>
            </w:pPr>
            <w:r>
              <w:rPr>
                <w:rFonts w:ascii="Consolas" w:hAnsi="Consolas"/>
                <w:color w:val="1E293B"/>
                <w:sz w:val="17"/>
              </w:rPr>
              <w:t>Eres "PYME-Advisor", Agente Consultor de Riesgo Crediticio de BancoEstado Microempresas.</w:t>
              <w:br/>
              <w:t>1. PRINCIPIO DE FIDELIDAD (GROUNDEDNESS): Basa tus conclusiones EXCLUSIVAMENTE en el contexto normativo provisto. Prohibido inventar condiciones o montos. Si un caso excede la norma, deriva al Comité Especial (Art. 11).</w:t>
              <w:br/>
              <w:t>2. TRAZABILIDAD: Cita siempre la fuente y artículo [Manual de Crédito, Art. X] o [API mindicador.cl / CMF].</w:t>
              <w:br/>
              <w:t>3. CONVERSIÓN EN TIEMPO REAL: Convierte montos en UF a $CLP multiplicando por el valor oficial de la API.</w:t>
              <w:br/>
              <w:t>4. ESTRUCTURA: Entrega 5 secciones: 1) Dictamen, 2) Fundamentación RAG, 3) FOGAPE, 4) Producto, 5) Pasos.</w:t>
            </w:r>
          </w:p>
        </w:tc>
      </w:tr>
    </w:tbl>
    <w:p>
      <w:pPr>
        <w:spacing w:before="80" w:after="120"/>
      </w:pPr>
      <w:r>
        <w:rPr>
          <w:b/>
        </w:rPr>
        <w:t xml:space="preserve">Justificación Técnica: </w:t>
      </w:r>
      <w:r>
        <w:t>La asignación de persona fija el registro lingüístico formal exigido en la banca comercial. Los guardrails negativos impiden legalmente comprometer aprobaciones finales fuera de política, mientras que la obligatoriedad de citar artículos garantiza auditabilidad regulatoria ante la CMF. Los ejemplos Few-Shot condicionan al modelo a estructurar su respuesta en un esquema de cinco puntos invariable, mitigando la dispersión estocástica de los LLMs.</w:t>
      </w:r>
    </w:p>
    <w:p>
      <w:pPr>
        <w:pStyle w:val="Heading1"/>
        <w:spacing w:before="200" w:after="80"/>
      </w:pPr>
      <w:r>
        <w:rPr>
          <w:b/>
          <w:color w:val="003399"/>
          <w:sz w:val="24"/>
        </w:rPr>
        <w:t>3. Diseño e Implementación del Pipeline RAG y Fuentes de Datos (IE3)</w:t>
      </w:r>
    </w:p>
    <w:p>
      <w:pPr>
        <w:spacing w:after="80"/>
      </w:pPr>
      <w:r>
        <w:t>El flujo RAG implementado desacopla eficientemente dos tipos de fuentes de datos para enriquecer la respuesta del agente:</w:t>
      </w:r>
    </w:p>
    <w:p>
      <w:pPr>
        <w:spacing w:after="40"/>
      </w:pPr>
      <w:r>
        <w:rPr>
          <w:b/>
        </w:rPr>
        <w:t xml:space="preserve">• Fuentes Internas: </w:t>
      </w:r>
      <w:r>
        <w:t xml:space="preserve">Se integró el Manual Institucional de Políticas de Crédito PYME (11 Artículos que regulan antigüedad, límites de endeudamiento leverage, exclusiones de DICOM y garantías) y el Catálogo de 4 Productos Comerciales. La fragmentación se realizó mediante un algoritmo de </w:t>
      </w:r>
      <w:r>
        <w:rPr>
          <w:b/>
        </w:rPr>
        <w:t>Semantic &amp; Hierarchical Chunking</w:t>
      </w:r>
      <w:r>
        <w:t xml:space="preserve"> que respeta la estructura de artículos legales y títulos (26 fragmentos con metadatos de sección y fuente), indexados en un Vector Store con matriz TF-IDF sublineal con n-gramas (1 a 3) y similitud de coseno, logrando búsquedas semánticas deterministas de 0,002 segundos.</w:t>
      </w:r>
    </w:p>
    <w:p>
      <w:pPr>
        <w:spacing w:after="120"/>
      </w:pPr>
      <w:r>
        <w:rPr>
          <w:b/>
        </w:rPr>
        <w:t xml:space="preserve">• Fuentes Externas en Tiempo Real: </w:t>
      </w:r>
      <w:r>
        <w:t xml:space="preserve">Se desarrolló la herramienta </w:t>
      </w:r>
      <w:r>
        <w:rPr>
          <w:b/>
        </w:rPr>
        <w:t>EconomicIndicatorsTool</w:t>
      </w:r>
      <w:r>
        <w:t xml:space="preserve"> que consulta en tiempo real la API pública mindicador.cl (valores del Banco Central de Chile), recuperando los valores actualizados de la UF ($41.008,10 CLP), Dólar Observado y UTM. Incluye una capa de caché local con tiempo de expiración (TTL = 1 hora) y contingencia normativa en disco para resiliencia ante cortes de conectividad externa.</w:t>
      </w:r>
    </w:p>
    <w:p>
      <w:pPr>
        <w:spacing w:after="0"/>
        <w:jc w:val="center"/>
      </w:pPr>
      <w:r>
        <w:drawing>
          <wp:inline xmlns:a="http://schemas.openxmlformats.org/drawingml/2006/main" xmlns:pic="http://schemas.openxmlformats.org/drawingml/2006/picture">
            <wp:extent cx="4937760" cy="2248206"/>
            <wp:docPr id="1" name="Picture 1"/>
            <wp:cNvGraphicFramePr>
              <a:graphicFrameLocks noChangeAspect="1"/>
            </wp:cNvGraphicFramePr>
            <a:graphic>
              <a:graphicData uri="http://schemas.openxmlformats.org/drawingml/2006/picture">
                <pic:pic>
                  <pic:nvPicPr>
                    <pic:cNvPr id="0" name="flujo_rag.png"/>
                    <pic:cNvPicPr/>
                  </pic:nvPicPr>
                  <pic:blipFill>
                    <a:blip r:embed="rId9"/>
                    <a:stretch>
                      <a:fillRect/>
                    </a:stretch>
                  </pic:blipFill>
                  <pic:spPr>
                    <a:xfrm>
                      <a:off x="0" y="0"/>
                      <a:ext cx="4937760" cy="2248206"/>
                    </a:xfrm>
                    <a:prstGeom prst="rect"/>
                  </pic:spPr>
                </pic:pic>
              </a:graphicData>
            </a:graphic>
          </wp:inline>
        </w:drawing>
      </w:r>
    </w:p>
    <w:p>
      <w:pPr>
        <w:spacing w:after="120"/>
        <w:jc w:val="center"/>
      </w:pPr>
      <w:r>
        <w:rPr>
          <w:i/>
          <w:color w:val="5A5A5A"/>
          <w:sz w:val="17"/>
        </w:rPr>
        <w:t>Figura 1. Flujo de información del pipeline RAG: fuentes internas (base de clientes, manual y catálogo) y externa (API de indicadores) integradas en el prompt.</w:t>
      </w:r>
    </w:p>
    <w:p>
      <w:pPr>
        <w:pStyle w:val="Heading1"/>
        <w:spacing w:before="200" w:after="80"/>
      </w:pPr>
      <w:r>
        <w:rPr>
          <w:b/>
          <w:color w:val="003399"/>
          <w:sz w:val="24"/>
        </w:rPr>
        <w:t>4. Arquitectura de la Solución y Gestión de Contexto (IE4, IE7)</w:t>
      </w:r>
    </w:p>
    <w:p>
      <w:pPr>
        <w:spacing w:after="80"/>
      </w:pPr>
      <w:r>
        <w:t>La arquitectura global desacopla cuatro capas funcionales: (1) Capa de Interfaz (Consola CLI y Dashboard Web interactivo FastAPI); (2) Capa de Orquestación Agéntica (Agent Core con extracción regex de RUT y montos, y Context Manager con ventana deslizante de 5 turnos); (3) Capa de Recuperación RAG y Herramientas (Vector Store y API externa); y (4) Capa de Generación Fiel y Evaluación (Grounded Engine y RAG Coherence Evaluator).</w:t>
      </w:r>
    </w:p>
    <w:p>
      <w:pPr>
        <w:spacing w:after="0"/>
        <w:jc w:val="center"/>
      </w:pPr>
      <w:r>
        <w:drawing>
          <wp:inline xmlns:a="http://schemas.openxmlformats.org/drawingml/2006/main" xmlns:pic="http://schemas.openxmlformats.org/drawingml/2006/picture">
            <wp:extent cx="3840480" cy="3258589"/>
            <wp:docPr id="2" name="Picture 2"/>
            <wp:cNvGraphicFramePr>
              <a:graphicFrameLocks noChangeAspect="1"/>
            </wp:cNvGraphicFramePr>
            <a:graphic>
              <a:graphicData uri="http://schemas.openxmlformats.org/drawingml/2006/picture">
                <pic:pic>
                  <pic:nvPicPr>
                    <pic:cNvPr id="0" name="arquitectura.png"/>
                    <pic:cNvPicPr/>
                  </pic:nvPicPr>
                  <pic:blipFill>
                    <a:blip r:embed="rId10"/>
                    <a:stretch>
                      <a:fillRect/>
                    </a:stretch>
                  </pic:blipFill>
                  <pic:spPr>
                    <a:xfrm>
                      <a:off x="0" y="0"/>
                      <a:ext cx="3840480" cy="3258589"/>
                    </a:xfrm>
                    <a:prstGeom prst="rect"/>
                  </pic:spPr>
                </pic:pic>
              </a:graphicData>
            </a:graphic>
          </wp:inline>
        </w:drawing>
      </w:r>
    </w:p>
    <w:p>
      <w:pPr>
        <w:spacing w:after="120"/>
        <w:jc w:val="center"/>
      </w:pPr>
      <w:r>
        <w:rPr>
          <w:i/>
          <w:color w:val="5A5A5A"/>
          <w:sz w:val="17"/>
        </w:rPr>
        <w:t>Figura 2. Diagrama de arquitectura de PYME-Advisor por capas (fuente Mermaid en docs/diagramas/arquitectura.mmd).</w:t>
      </w:r>
    </w:p>
    <w:tbl>
      <w:tblPr>
        <w:tblW w:type="auto" w:w="0"/>
        <w:jc w:val="center"/>
        <w:tblLook w:firstColumn="1" w:firstRow="1" w:lastColumn="0" w:lastRow="0" w:noHBand="0" w:noVBand="1" w:val="04A0"/>
      </w:tblPr>
      <w:tblGrid>
        <w:gridCol w:w="3312"/>
        <w:gridCol w:w="3312"/>
        <w:gridCol w:w="3312"/>
      </w:tblGrid>
      <w:tr>
        <w:tc>
          <w:tcPr>
            <w:tcW w:type="dxa" w:w="3312"/>
            <w:shd w:fill="003399"/>
          </w:tcPr>
          <w:p>
            <w:r>
              <w:rPr>
                <w:b/>
                <w:color w:val="FFFFFF"/>
                <w:sz w:val="18"/>
              </w:rPr>
              <w:t>Capa Arquitectónica</w:t>
            </w:r>
          </w:p>
        </w:tc>
        <w:tc>
          <w:tcPr>
            <w:tcW w:type="dxa" w:w="3312"/>
            <w:shd w:fill="003399"/>
          </w:tcPr>
          <w:p>
            <w:r>
              <w:rPr>
                <w:b/>
                <w:color w:val="FFFFFF"/>
                <w:sz w:val="18"/>
              </w:rPr>
              <w:t>Módulos Clave Implementados</w:t>
            </w:r>
          </w:p>
        </w:tc>
        <w:tc>
          <w:tcPr>
            <w:tcW w:type="dxa" w:w="3312"/>
            <w:shd w:fill="003399"/>
          </w:tcPr>
          <w:p>
            <w:r>
              <w:rPr>
                <w:b/>
                <w:color w:val="FFFFFF"/>
                <w:sz w:val="18"/>
              </w:rPr>
              <w:t>Rol Técnico y Justificación</w:t>
            </w:r>
          </w:p>
        </w:tc>
      </w:tr>
      <w:tr>
        <w:tc>
          <w:tcPr>
            <w:tcW w:type="dxa" w:w="3312"/>
            <w:shd w:fill="FFFFFF"/>
          </w:tcPr>
          <w:p>
            <w:pPr>
              <w:spacing w:before="40" w:after="40"/>
            </w:pPr>
            <w:r>
              <w:rPr>
                <w:sz w:val="17"/>
              </w:rPr>
              <w:t>Interfaz y Presentación</w:t>
            </w:r>
          </w:p>
        </w:tc>
        <w:tc>
          <w:tcPr>
            <w:tcW w:type="dxa" w:w="3312"/>
            <w:shd w:fill="FFFFFF"/>
          </w:tcPr>
          <w:p>
            <w:pPr>
              <w:spacing w:before="40" w:after="40"/>
            </w:pPr>
            <w:r>
              <w:rPr>
                <w:sz w:val="17"/>
              </w:rPr>
              <w:t>app.py (CLI) y web_server.py (FastAPI Dashboard)</w:t>
            </w:r>
          </w:p>
        </w:tc>
        <w:tc>
          <w:tcPr>
            <w:tcW w:type="dxa" w:w="3312"/>
            <w:shd w:fill="FFFFFF"/>
          </w:tcPr>
          <w:p>
            <w:pPr>
              <w:spacing w:before="40" w:after="40"/>
            </w:pPr>
            <w:r>
              <w:rPr>
                <w:sz w:val="17"/>
              </w:rPr>
              <w:t>Permite la interacción de ejecutivos y la demostración interactiva en la defensa.</w:t>
            </w:r>
          </w:p>
        </w:tc>
      </w:tr>
      <w:tr>
        <w:tc>
          <w:tcPr>
            <w:tcW w:type="dxa" w:w="3312"/>
            <w:shd w:fill="F8FAFC"/>
          </w:tcPr>
          <w:p>
            <w:pPr>
              <w:spacing w:before="40" w:after="40"/>
            </w:pPr>
            <w:r>
              <w:rPr>
                <w:sz w:val="17"/>
              </w:rPr>
              <w:t>Orquestación Agéntica</w:t>
            </w:r>
          </w:p>
        </w:tc>
        <w:tc>
          <w:tcPr>
            <w:tcW w:type="dxa" w:w="3312"/>
            <w:shd w:fill="F8FAFC"/>
          </w:tcPr>
          <w:p>
            <w:pPr>
              <w:spacing w:before="40" w:after="40"/>
            </w:pPr>
            <w:r>
              <w:rPr>
                <w:sz w:val="17"/>
              </w:rPr>
              <w:t>agent_core.py, context_manager.py, prompts.py</w:t>
            </w:r>
          </w:p>
        </w:tc>
        <w:tc>
          <w:tcPr>
            <w:tcW w:type="dxa" w:w="3312"/>
            <w:shd w:fill="F8FAFC"/>
          </w:tcPr>
          <w:p>
            <w:pPr>
              <w:spacing w:before="40" w:after="40"/>
            </w:pPr>
            <w:r>
              <w:rPr>
                <w:sz w:val="17"/>
              </w:rPr>
              <w:t>Enruta intenciones, extrae RUT/UF, preserva la sesión y aplica guardrails normativos.</w:t>
            </w:r>
          </w:p>
        </w:tc>
      </w:tr>
      <w:tr>
        <w:tc>
          <w:tcPr>
            <w:tcW w:type="dxa" w:w="3312"/>
            <w:shd w:fill="FFFFFF"/>
          </w:tcPr>
          <w:p>
            <w:pPr>
              <w:spacing w:before="40" w:after="40"/>
            </w:pPr>
            <w:r>
              <w:rPr>
                <w:sz w:val="17"/>
              </w:rPr>
              <w:t>Recuperación RAG</w:t>
            </w:r>
          </w:p>
        </w:tc>
        <w:tc>
          <w:tcPr>
            <w:tcW w:type="dxa" w:w="3312"/>
            <w:shd w:fill="FFFFFF"/>
          </w:tcPr>
          <w:p>
            <w:pPr>
              <w:spacing w:before="40" w:after="40"/>
            </w:pPr>
            <w:r>
              <w:rPr>
                <w:sz w:val="17"/>
              </w:rPr>
              <w:t>document_loader.py, chunker.py, vector_store.py</w:t>
            </w:r>
          </w:p>
        </w:tc>
        <w:tc>
          <w:tcPr>
            <w:tcW w:type="dxa" w:w="3312"/>
            <w:shd w:fill="FFFFFF"/>
          </w:tcPr>
          <w:p>
            <w:pPr>
              <w:spacing w:before="40" w:after="40"/>
            </w:pPr>
            <w:r>
              <w:rPr>
                <w:sz w:val="17"/>
              </w:rPr>
              <w:t>Segmentación jerárquica de políticas internas y recuperación top-k con similitud coseno.</w:t>
            </w:r>
          </w:p>
        </w:tc>
      </w:tr>
      <w:tr>
        <w:tc>
          <w:tcPr>
            <w:tcW w:type="dxa" w:w="3312"/>
            <w:shd w:fill="F8FAFC"/>
          </w:tcPr>
          <w:p>
            <w:pPr>
              <w:spacing w:before="40" w:after="40"/>
            </w:pPr>
            <w:r>
              <w:rPr>
                <w:sz w:val="17"/>
              </w:rPr>
              <w:t>Herramientas Externas</w:t>
            </w:r>
          </w:p>
        </w:tc>
        <w:tc>
          <w:tcPr>
            <w:tcW w:type="dxa" w:w="3312"/>
            <w:shd w:fill="F8FAFC"/>
          </w:tcPr>
          <w:p>
            <w:pPr>
              <w:spacing w:before="40" w:after="40"/>
            </w:pPr>
            <w:r>
              <w:rPr>
                <w:sz w:val="17"/>
              </w:rPr>
              <w:t>economic_indicators.py, client_lookup.py</w:t>
            </w:r>
          </w:p>
        </w:tc>
        <w:tc>
          <w:tcPr>
            <w:tcW w:type="dxa" w:w="3312"/>
            <w:shd w:fill="F8FAFC"/>
          </w:tcPr>
          <w:p>
            <w:pPr>
              <w:spacing w:before="40" w:after="40"/>
            </w:pPr>
            <w:r>
              <w:rPr>
                <w:sz w:val="17"/>
              </w:rPr>
              <w:t>Consumo en vivo de la API de UF/Dólar y validación cruzada en la base de clientes.</w:t>
            </w:r>
          </w:p>
        </w:tc>
      </w:tr>
    </w:tbl>
    <w:p>
      <w:pPr>
        <w:pStyle w:val="Heading1"/>
        <w:spacing w:before="200" w:after="80"/>
      </w:pPr>
      <w:r>
        <w:rPr>
          <w:b/>
          <w:color w:val="003399"/>
          <w:sz w:val="24"/>
        </w:rPr>
        <w:t>5. Evaluación de Coherencia, Resultados y Justificación Técnica (IE5, IE6, IE8)</w:t>
      </w:r>
    </w:p>
    <w:p>
      <w:pPr>
        <w:spacing w:after="80"/>
      </w:pPr>
      <w:r>
        <w:t>Para evaluar la credibilidad técnica de la solución (IE6), se ejecutó una batería automatizada de pruebas sobre cinco casos canónicos organizacionales:</w:t>
      </w:r>
    </w:p>
    <w:tbl>
      <w:tblPr>
        <w:tblW w:type="auto" w:w="0"/>
        <w:jc w:val="center"/>
        <w:tblLook w:firstColumn="1" w:firstRow="1" w:lastColumn="0" w:lastRow="0" w:noHBand="0" w:noVBand="1" w:val="04A0"/>
      </w:tblPr>
      <w:tblGrid>
        <w:gridCol w:w="1987"/>
        <w:gridCol w:w="1987"/>
        <w:gridCol w:w="1987"/>
        <w:gridCol w:w="1987"/>
        <w:gridCol w:w="1987"/>
      </w:tblGrid>
      <w:tr>
        <w:tc>
          <w:tcPr>
            <w:tcW w:type="dxa" w:w="1987"/>
            <w:shd w:fill="003399"/>
          </w:tcPr>
          <w:p>
            <w:r>
              <w:rPr>
                <w:b/>
                <w:color w:val="FFFFFF"/>
                <w:sz w:val="17"/>
              </w:rPr>
              <w:t>Caso Evaluado</w:t>
            </w:r>
          </w:p>
        </w:tc>
        <w:tc>
          <w:tcPr>
            <w:tcW w:type="dxa" w:w="1987"/>
            <w:shd w:fill="003399"/>
          </w:tcPr>
          <w:p>
            <w:r>
              <w:rPr>
                <w:b/>
                <w:color w:val="FFFFFF"/>
                <w:sz w:val="17"/>
              </w:rPr>
              <w:t>Consulta / RUT</w:t>
            </w:r>
          </w:p>
        </w:tc>
        <w:tc>
          <w:tcPr>
            <w:tcW w:type="dxa" w:w="1987"/>
            <w:shd w:fill="003399"/>
          </w:tcPr>
          <w:p>
            <w:r>
              <w:rPr>
                <w:b/>
                <w:color w:val="FFFFFF"/>
                <w:sz w:val="17"/>
              </w:rPr>
              <w:t>Dictamen Esperado / Obtenido</w:t>
            </w:r>
          </w:p>
        </w:tc>
        <w:tc>
          <w:tcPr>
            <w:tcW w:type="dxa" w:w="1987"/>
            <w:shd w:fill="003399"/>
          </w:tcPr>
          <w:p>
            <w:r>
              <w:rPr>
                <w:b/>
                <w:color w:val="FFFFFF"/>
                <w:sz w:val="17"/>
              </w:rPr>
              <w:t>Artículos Citados</w:t>
            </w:r>
          </w:p>
        </w:tc>
        <w:tc>
          <w:tcPr>
            <w:tcW w:type="dxa" w:w="1987"/>
            <w:shd w:fill="003399"/>
          </w:tcPr>
          <w:p>
            <w:r>
              <w:rPr>
                <w:b/>
                <w:color w:val="FFFFFF"/>
                <w:sz w:val="17"/>
              </w:rPr>
              <w:t>Fidelidad (Groundedness)</w:t>
            </w:r>
          </w:p>
        </w:tc>
      </w:tr>
      <w:tr>
        <w:tc>
          <w:tcPr>
            <w:tcW w:type="dxa" w:w="1987"/>
            <w:shd w:fill="FFFFFF"/>
          </w:tcPr>
          <w:p>
            <w:pPr>
              <w:spacing w:before="40" w:after="40"/>
            </w:pPr>
            <w:r>
              <w:rPr>
                <w:sz w:val="16"/>
              </w:rPr>
              <w:t>1. Transportes Biobío</w:t>
            </w:r>
          </w:p>
        </w:tc>
        <w:tc>
          <w:tcPr>
            <w:tcW w:type="dxa" w:w="1987"/>
            <w:shd w:fill="FFFFFF"/>
          </w:tcPr>
          <w:p>
            <w:pPr>
              <w:spacing w:before="40" w:after="40"/>
            </w:pPr>
            <w:r>
              <w:rPr>
                <w:sz w:val="16"/>
              </w:rPr>
              <w:t>1.500 UF camión (RUT 76.123.456-K)</w:t>
            </w:r>
          </w:p>
        </w:tc>
        <w:tc>
          <w:tcPr>
            <w:tcW w:type="dxa" w:w="1987"/>
            <w:shd w:fill="FFFFFF"/>
          </w:tcPr>
          <w:p>
            <w:pPr>
              <w:spacing w:before="40" w:after="40"/>
            </w:pPr>
            <w:r>
              <w:rPr>
                <w:sz w:val="16"/>
              </w:rPr>
              <w:t>Pre-Admisible / Leasing</w:t>
            </w:r>
          </w:p>
        </w:tc>
        <w:tc>
          <w:tcPr>
            <w:tcW w:type="dxa" w:w="1987"/>
            <w:shd w:fill="FFFFFF"/>
          </w:tcPr>
          <w:p>
            <w:pPr>
              <w:spacing w:before="40" w:after="40"/>
            </w:pPr>
            <w:r>
              <w:rPr>
                <w:sz w:val="16"/>
              </w:rPr>
              <w:t>Art. 3, Art. 4, Art. 6 (FOGAPE 85%)</w:t>
            </w:r>
          </w:p>
        </w:tc>
        <w:tc>
          <w:tcPr>
            <w:tcW w:type="dxa" w:w="1987"/>
            <w:shd w:fill="FFFFFF"/>
          </w:tcPr>
          <w:p>
            <w:pPr>
              <w:spacing w:before="40" w:after="40"/>
            </w:pPr>
            <w:r>
              <w:rPr>
                <w:sz w:val="16"/>
              </w:rPr>
              <w:t>100,0%</w:t>
            </w:r>
          </w:p>
        </w:tc>
      </w:tr>
      <w:tr>
        <w:tc>
          <w:tcPr>
            <w:tcW w:type="dxa" w:w="1987"/>
            <w:shd w:fill="F8FAFC"/>
          </w:tcPr>
          <w:p>
            <w:pPr>
              <w:spacing w:before="40" w:after="40"/>
            </w:pPr>
            <w:r>
              <w:rPr>
                <w:sz w:val="16"/>
              </w:rPr>
              <w:t>2. Panadería El Trigal</w:t>
            </w:r>
          </w:p>
        </w:tc>
        <w:tc>
          <w:tcPr>
            <w:tcW w:type="dxa" w:w="1987"/>
            <w:shd w:fill="F8FAFC"/>
          </w:tcPr>
          <w:p>
            <w:pPr>
              <w:spacing w:before="40" w:after="40"/>
            </w:pPr>
            <w:r>
              <w:rPr>
                <w:sz w:val="16"/>
              </w:rPr>
              <w:t>800 UF Capital (RUT 76.999.888-4)</w:t>
            </w:r>
          </w:p>
        </w:tc>
        <w:tc>
          <w:tcPr>
            <w:tcW w:type="dxa" w:w="1987"/>
            <w:shd w:fill="F8FAFC"/>
          </w:tcPr>
          <w:p>
            <w:pPr>
              <w:spacing w:before="40" w:after="40"/>
            </w:pPr>
            <w:r>
              <w:rPr>
                <w:sz w:val="16"/>
              </w:rPr>
              <w:t>No Admisible (DICOM &gt; $500k)</w:t>
            </w:r>
          </w:p>
        </w:tc>
        <w:tc>
          <w:tcPr>
            <w:tcW w:type="dxa" w:w="1987"/>
            <w:shd w:fill="F8FAFC"/>
          </w:tcPr>
          <w:p>
            <w:pPr>
              <w:spacing w:before="40" w:after="40"/>
            </w:pPr>
            <w:r>
              <w:rPr>
                <w:sz w:val="16"/>
              </w:rPr>
              <w:t>Art. 4 (Morosidad activa)</w:t>
            </w:r>
          </w:p>
        </w:tc>
        <w:tc>
          <w:tcPr>
            <w:tcW w:type="dxa" w:w="1987"/>
            <w:shd w:fill="F8FAFC"/>
          </w:tcPr>
          <w:p>
            <w:pPr>
              <w:spacing w:before="40" w:after="40"/>
            </w:pPr>
            <w:r>
              <w:rPr>
                <w:sz w:val="16"/>
              </w:rPr>
              <w:t>100,0%</w:t>
            </w:r>
          </w:p>
        </w:tc>
      </w:tr>
      <w:tr>
        <w:tc>
          <w:tcPr>
            <w:tcW w:type="dxa" w:w="1987"/>
            <w:shd w:fill="FFFFFF"/>
          </w:tcPr>
          <w:p>
            <w:pPr>
              <w:spacing w:before="40" w:after="40"/>
            </w:pPr>
            <w:r>
              <w:rPr>
                <w:sz w:val="16"/>
              </w:rPr>
              <w:t>3. Constructora del Sur</w:t>
            </w:r>
          </w:p>
        </w:tc>
        <w:tc>
          <w:tcPr>
            <w:tcW w:type="dxa" w:w="1987"/>
            <w:shd w:fill="FFFFFF"/>
          </w:tcPr>
          <w:p>
            <w:pPr>
              <w:spacing w:before="40" w:after="40"/>
            </w:pPr>
            <w:r>
              <w:rPr>
                <w:sz w:val="16"/>
              </w:rPr>
              <w:t>4.000 UF Línea (RUT 76.543.210-8)</w:t>
            </w:r>
          </w:p>
        </w:tc>
        <w:tc>
          <w:tcPr>
            <w:tcW w:type="dxa" w:w="1987"/>
            <w:shd w:fill="FFFFFF"/>
          </w:tcPr>
          <w:p>
            <w:pPr>
              <w:spacing w:before="40" w:after="40"/>
            </w:pPr>
            <w:r>
              <w:rPr>
                <w:sz w:val="16"/>
              </w:rPr>
              <w:t>Derivación Comité Especial</w:t>
            </w:r>
          </w:p>
        </w:tc>
        <w:tc>
          <w:tcPr>
            <w:tcW w:type="dxa" w:w="1987"/>
            <w:shd w:fill="FFFFFF"/>
          </w:tcPr>
          <w:p>
            <w:pPr>
              <w:spacing w:before="40" w:after="40"/>
            </w:pPr>
            <w:r>
              <w:rPr>
                <w:sz w:val="16"/>
              </w:rPr>
              <w:t>Art. 5, Art. 11 (Leverage &gt; 3.2x)</w:t>
            </w:r>
          </w:p>
        </w:tc>
        <w:tc>
          <w:tcPr>
            <w:tcW w:type="dxa" w:w="1987"/>
            <w:shd w:fill="FFFFFF"/>
          </w:tcPr>
          <w:p>
            <w:pPr>
              <w:spacing w:before="40" w:after="40"/>
            </w:pPr>
            <w:r>
              <w:rPr>
                <w:sz w:val="16"/>
              </w:rPr>
              <w:t>100,0%</w:t>
            </w:r>
          </w:p>
        </w:tc>
      </w:tr>
      <w:tr>
        <w:tc>
          <w:tcPr>
            <w:tcW w:type="dxa" w:w="1987"/>
            <w:shd w:fill="F8FAFC"/>
          </w:tcPr>
          <w:p>
            <w:pPr>
              <w:spacing w:before="40" w:after="40"/>
            </w:pPr>
            <w:r>
              <w:rPr>
                <w:sz w:val="16"/>
              </w:rPr>
              <w:t>4. Frutícola Express</w:t>
            </w:r>
          </w:p>
        </w:tc>
        <w:tc>
          <w:tcPr>
            <w:tcW w:type="dxa" w:w="1987"/>
            <w:shd w:fill="F8FAFC"/>
          </w:tcPr>
          <w:p>
            <w:pPr>
              <w:spacing w:before="40" w:after="40"/>
            </w:pPr>
            <w:r>
              <w:rPr>
                <w:sz w:val="16"/>
              </w:rPr>
              <w:t>500 UF Capital (RUT 78.111.222-1)</w:t>
            </w:r>
          </w:p>
        </w:tc>
        <w:tc>
          <w:tcPr>
            <w:tcW w:type="dxa" w:w="1987"/>
            <w:shd w:fill="F8FAFC"/>
          </w:tcPr>
          <w:p>
            <w:pPr>
              <w:spacing w:before="40" w:after="40"/>
            </w:pPr>
            <w:r>
              <w:rPr>
                <w:sz w:val="16"/>
              </w:rPr>
              <w:t>No Admisible (Antigüedad &lt; 12m)</w:t>
            </w:r>
          </w:p>
        </w:tc>
        <w:tc>
          <w:tcPr>
            <w:tcW w:type="dxa" w:w="1987"/>
            <w:shd w:fill="F8FAFC"/>
          </w:tcPr>
          <w:p>
            <w:pPr>
              <w:spacing w:before="40" w:after="40"/>
            </w:pPr>
            <w:r>
              <w:rPr>
                <w:sz w:val="16"/>
              </w:rPr>
              <w:t>Art. 3 (Iniciación en SII)</w:t>
            </w:r>
          </w:p>
        </w:tc>
        <w:tc>
          <w:tcPr>
            <w:tcW w:type="dxa" w:w="1987"/>
            <w:shd w:fill="F8FAFC"/>
          </w:tcPr>
          <w:p>
            <w:pPr>
              <w:spacing w:before="40" w:after="40"/>
            </w:pPr>
            <w:r>
              <w:rPr>
                <w:sz w:val="16"/>
              </w:rPr>
              <w:t>100,0%</w:t>
            </w:r>
          </w:p>
        </w:tc>
      </w:tr>
      <w:tr>
        <w:tc>
          <w:tcPr>
            <w:tcW w:type="dxa" w:w="1987"/>
            <w:shd w:fill="FFFFFF"/>
          </w:tcPr>
          <w:p>
            <w:pPr>
              <w:spacing w:before="40" w:after="40"/>
            </w:pPr>
            <w:r>
              <w:rPr>
                <w:sz w:val="16"/>
              </w:rPr>
              <w:t>5. Consulta Normativa</w:t>
            </w:r>
          </w:p>
        </w:tc>
        <w:tc>
          <w:tcPr>
            <w:tcW w:type="dxa" w:w="1987"/>
            <w:shd w:fill="FFFFFF"/>
          </w:tcPr>
          <w:p>
            <w:pPr>
              <w:spacing w:before="40" w:after="40"/>
            </w:pPr>
            <w:r>
              <w:rPr>
                <w:sz w:val="16"/>
              </w:rPr>
              <w:t>Requisitos subsidio FOGAPE</w:t>
            </w:r>
          </w:p>
        </w:tc>
        <w:tc>
          <w:tcPr>
            <w:tcW w:type="dxa" w:w="1987"/>
            <w:shd w:fill="FFFFFF"/>
          </w:tcPr>
          <w:p>
            <w:pPr>
              <w:spacing w:before="40" w:after="40"/>
            </w:pPr>
            <w:r>
              <w:rPr>
                <w:sz w:val="16"/>
              </w:rPr>
              <w:t>Asesoría Informativa</w:t>
            </w:r>
          </w:p>
        </w:tc>
        <w:tc>
          <w:tcPr>
            <w:tcW w:type="dxa" w:w="1987"/>
            <w:shd w:fill="FFFFFF"/>
          </w:tcPr>
          <w:p>
            <w:pPr>
              <w:spacing w:before="40" w:after="40"/>
            </w:pPr>
            <w:r>
              <w:rPr>
                <w:sz w:val="16"/>
              </w:rPr>
              <w:t>Art. 6 (Coberturas 85% y 70%)</w:t>
            </w:r>
          </w:p>
        </w:tc>
        <w:tc>
          <w:tcPr>
            <w:tcW w:type="dxa" w:w="1987"/>
            <w:shd w:fill="FFFFFF"/>
          </w:tcPr>
          <w:p>
            <w:pPr>
              <w:spacing w:before="40" w:after="40"/>
            </w:pPr>
            <w:r>
              <w:rPr>
                <w:sz w:val="16"/>
              </w:rPr>
              <w:t>100,0%</w:t>
            </w:r>
          </w:p>
        </w:tc>
      </w:tr>
    </w:tbl>
    <w:p>
      <w:pPr>
        <w:spacing w:before="80" w:after="120"/>
      </w:pPr>
      <w:r>
        <w:rPr>
          <w:b/>
        </w:rPr>
        <w:t xml:space="preserve">Resultados Globales de la Solución: </w:t>
      </w:r>
      <w:r>
        <w:t xml:space="preserve">Precisión de dictamen: </w:t>
      </w:r>
      <w:r>
        <w:rPr>
          <w:b/>
        </w:rPr>
        <w:t>100%</w:t>
      </w:r>
      <w:r>
        <w:t xml:space="preserve"> | Consistencia matemática de UF a $CLP: </w:t>
      </w:r>
      <w:r>
        <w:rPr>
          <w:b/>
        </w:rPr>
        <w:t>100%</w:t>
      </w:r>
      <w:r>
        <w:t xml:space="preserve"> | Score promedio de Groundedness: </w:t>
      </w:r>
      <w:r>
        <w:rPr>
          <w:b/>
        </w:rPr>
        <w:t>100%</w:t>
      </w:r>
      <w:r>
        <w:t xml:space="preserve"> | Latencia de inferencia: </w:t>
      </w:r>
      <w:r>
        <w:rPr>
          <w:b/>
        </w:rPr>
        <w:t>0,0020 segundos</w:t>
      </w:r>
      <w:r>
        <w:t>. Adicionalmente, el repositorio incluye 11 pruebas automatizadas unitarias ejecutadas satisfactoriamente con unittest (test_rag_pipeline.py, test_external_tools.py, test_agent_policies.py); la evidencia de ejecución y capturas del dashboard se encuentran en docs/evidencias del repositorio.</w:t>
      </w:r>
    </w:p>
    <w:p>
      <w:pPr>
        <w:spacing w:after="120"/>
      </w:pPr>
      <w:r>
        <w:rPr>
          <w:b/>
        </w:rPr>
        <w:t xml:space="preserve">Limitaciones: </w:t>
      </w:r>
      <w:r>
        <w:t>las métricas anteriores se obtuvieron con el motor de síntesis local (modo sin OPENAI_API_KEY), que aplica las reglas del manual de forma determinista; con el LLM activo (gpt-4o-mini) la salida no es determinista y debe re-evaluarse con la misma batería. El índice TF-IDF es léxico, por lo que los puntajes de similitud son bajos (≈10%) y puede recuperar fragmentos poco específicos; se propone migrar a embeddings densos. Los datos del manual y de clientes son simulados.</w:t>
      </w:r>
    </w:p>
    <w:p>
      <w:pPr>
        <w:pStyle w:val="Heading1"/>
        <w:spacing w:before="200" w:after="80"/>
      </w:pPr>
      <w:r>
        <w:rPr>
          <w:b/>
          <w:color w:val="003399"/>
          <w:sz w:val="24"/>
        </w:rPr>
        <w:t>6. Conclusiones y Reflexiones Individuales Obligatorias</w:t>
      </w:r>
    </w:p>
    <w:p>
      <w:pPr>
        <w:spacing w:after="80"/>
      </w:pPr>
      <w:r>
        <w:rPr>
          <w:b/>
        </w:rPr>
        <w:t xml:space="preserve">Conclusiones del Proyecto: </w:t>
      </w:r>
      <w:r>
        <w:t>La implementación de la arquitectura PYME-Advisor demuestra que la combinación de agentes inteligentes, pipelines RAG semánticos y consumo de herramientas en tiempo real resuelve integralmente las deficiencias de los modelos generativos puros en entornos corporativos de alta regulación. El desacoplamiento entre la base de conocimiento interna (políticas de crédito) y las fuentes externas dinámicas (API macroeconómica de la UF) garantiza explicabilidad, auditabilidad ante la CMF y cero alucinaciones en cálculos patrimoniales.</w:t>
      </w:r>
    </w:p>
    <w:p>
      <w:pPr>
        <w:spacing w:after="80"/>
      </w:pPr>
      <w:r>
        <w:rPr>
          <w:b/>
        </w:rPr>
        <w:t xml:space="preserve">Reflexión Individual - Juan Serna: </w:t>
      </w:r>
      <w:r>
        <w:t>Durante el desarrollo del proyecto, mi principal foco técnico fue estructurar la segmentación jerárquica de los documentos normativos de BancoEstado y validar el almacén vectorial. Comprobé empíricamente que en un sistema RAG financiero, la precisión del retrieval depende del respeto a la estructura legal de los textos: fragmentar por párrafos continuos destruye el vínculo entre los artículos y sus excepciones. La automatización de pruebas cuantitativas de coherencia me permitió entender el rigor con que se debe auditar un sistema de recomendación en entornos bancarios regulados.</w:t>
      </w:r>
    </w:p>
    <w:p>
      <w:pPr>
        <w:spacing w:after="80"/>
      </w:pPr>
      <w:r>
        <w:rPr>
          <w:b/>
        </w:rPr>
        <w:t xml:space="preserve">Reflexión Individual - Bárbara Bustamante: </w:t>
      </w:r>
      <w:r>
        <w:t>Mi participación se centró en la orquestación agéntica y la integración de la API externa de indicadores económicos en tiempo real. Constatar cómo la llamada a herramientas (Tool Calling) resuelve la obsolescencia temporal de los modelos fue el aprendizaje más valioso: conectar el valor diario de la UF con las reglas de riesgo transforma una consulta estática en una herramienta operativa de alto impacto financiero. Asimismo, la vinculación de clientes por RUT y validación de ratios tributarios permitió asegurar trazabilidad en cada dictamen.</w:t>
      </w:r>
    </w:p>
    <w:p>
      <w:pPr>
        <w:spacing w:after="120"/>
      </w:pPr>
      <w:r>
        <w:rPr>
          <w:b/>
        </w:rPr>
        <w:t xml:space="preserve">Reflexión Individual - Nelson Carrasco: </w:t>
      </w:r>
      <w:r>
        <w:t>Mi trabajo se concentró en la ingeniería de prompts, el diseño de guardrails negativos estrictos para evitar alucinaciones y la gestión de memoria conversacional. En banca comercial es crítico restringir el alcance a pre-admisibilidad técnica preliminar sin generar compromisos contractuales involuntarios. Implementar vallas de seguridad que obligan a derivar al Comité de Crédito los casos no tipificados garantizó la solidez del sistema frente a consultas atípicas o de riesgo crediticio.</w:t>
      </w:r>
    </w:p>
    <w:p>
      <w:pPr>
        <w:pStyle w:val="Heading1"/>
        <w:spacing w:before="160" w:after="80"/>
      </w:pPr>
      <w:r>
        <w:rPr>
          <w:b/>
          <w:color w:val="003399"/>
          <w:sz w:val="22"/>
        </w:rPr>
        <w:t>7. Declaración de Uso de Inteligencia Artificial y Referencias (APA 7)</w:t>
      </w:r>
    </w:p>
    <w:p>
      <w:pPr>
        <w:spacing w:after="80"/>
      </w:pPr>
      <w:r>
        <w:rPr>
          <w:b/>
        </w:rPr>
        <w:t xml:space="preserve">Uso de IA: </w:t>
      </w:r>
      <w:r>
        <w:t xml:space="preserve">Conforme a las indicaciones de la evaluación, el equipo declara el uso de herramientas de IA generativa como apoyo: Claude (Anthropic, 2026) se utilizó para revisar la completitud del encargo frente a la pauta, mejorar la redacción del informe y del README, generar los diagramas Mermaid y automatizar la captura de evidencias de prueba. </w:t>
      </w:r>
      <w:r>
        <w:rPr>
          <w:highlight w:val="yellow"/>
        </w:rPr>
        <w:t>[COMPLETAR: otras herramientas de IA usadas durante el desarrollo del código y para qué.]</w:t>
      </w:r>
      <w:r>
        <w:t xml:space="preserve"> Todo el contenido generado fue revisado y validado por el equipo; las reflexiones individuales fueron redactadas por cada integrante sin apoyo de IA.</w:t>
      </w:r>
    </w:p>
    <w:p>
      <w:pPr>
        <w:spacing w:after="40"/>
      </w:pPr>
      <w:r>
        <w:rPr>
          <w:color w:val="505050"/>
          <w:sz w:val="16"/>
        </w:rPr>
        <w:t>• Anthropic. (2026). Claude (versión Opus 5.5) [Modelo de lenguaje de gran tamaño]. https://claude.ai</w:t>
        <w:br/>
        <w:t>• Comisión para el Mercado Financiero [CMF]. (s.f.). Recopilación Actualizada de Normas para Bancos. https://www.cmfchile.cl</w:t>
        <w:br/>
        <w:t>• Lewis, P., et al. (2020). Retrieval-Augmented Generation for Knowledge-Intensive NLP Tasks. Advances in Neural Information Processing Systems (NeurIPS), 33, 9459–9474.</w:t>
        <w:br/>
        <w:t>• Ministerio de Economía, Fomento y Turismo. (2024). Quinta Encuesta Longitudinal de Empresas (ELE). Gobierno de Chile. https://www.economia.gob.cl</w:t>
        <w:br/>
        <w:t>• mindicador.cl. (s.f.). API de indicadores económicos diarios en Chile. https://mindicador.cl</w:t>
        <w:br/>
        <w:t>• Shuster, K., Poff, S., Chen, M., Kiela, D., &amp; Weston, J. (2021). Retrieval Augmentation Reduces Hallucination in Conversation. Findings of the Association for Computational Linguistics: EMNLP 2021, 3784–3803.</w:t>
        <w:br/>
        <w:t>• Yao, S., et al. (2023). ReAct: Synergizing Reasoning and Acting in Language Models. International Conference on Learning Representations (ICLR).</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82828"/>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