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X6c5ad634c7dae3035623282f12647cf26dc835a"/>
    <w:p>
      <w:pPr>
        <w:pStyle w:val="Heading1"/>
      </w:pPr>
      <w:r>
        <w:t xml:space="preserve">Managed Security Operations Center (SOC) Proposal</w:t>
      </w:r>
    </w:p>
    <w:p>
      <w:pPr>
        <w:pStyle w:val="FirstParagraph"/>
      </w:pPr>
      <w:r>
        <w:rPr>
          <w:b/>
          <w:bCs/>
        </w:rPr>
        <w:t xml:space="preserve">Prepared for:</w:t>
      </w:r>
      <w:r>
        <w:t xml:space="preserve"> </w:t>
      </w:r>
      <w:r>
        <w:t xml:space="preserve">[Client Name]</w:t>
      </w:r>
      <w:r>
        <w:br/>
      </w:r>
      <w:r>
        <w:rPr>
          <w:b/>
          <w:bCs/>
        </w:rPr>
        <w:t xml:space="preserve">Prepared by:</w:t>
      </w:r>
      <w:r>
        <w:t xml:space="preserve"> </w:t>
      </w:r>
      <w:r>
        <w:t xml:space="preserve">[Provider Name]</w:t>
      </w:r>
      <w:r>
        <w:br/>
      </w:r>
      <w:r>
        <w:rPr>
          <w:b/>
          <w:bCs/>
        </w:rPr>
        <w:t xml:space="preserve">Date:</w:t>
      </w:r>
      <w:r>
        <w:t xml:space="preserve"> </w:t>
      </w:r>
      <w:r>
        <w:t xml:space="preserve">[Proposal Date]</w:t>
      </w:r>
      <w:r>
        <w:br/>
      </w:r>
      <w:r>
        <w:rPr>
          <w:b/>
          <w:bCs/>
        </w:rPr>
        <w:t xml:space="preserve">Contact:</w:t>
      </w:r>
      <w:r>
        <w:t xml:space="preserve"> </w:t>
      </w:r>
      <w:r>
        <w:t xml:space="preserve">[Provider Contact Name, Title, Email, Phone]</w:t>
      </w:r>
    </w:p>
    <w:bookmarkStart w:id="9" w:name="executive-summary"/>
    <w:p>
      <w:pPr>
        <w:pStyle w:val="Heading2"/>
      </w:pPr>
      <w:r>
        <w:t xml:space="preserve">Executive Summary</w:t>
      </w:r>
    </w:p>
    <w:p>
      <w:pPr>
        <w:pStyle w:val="FirstParagraph"/>
      </w:pPr>
      <w:r>
        <w:t xml:space="preserve">[Provider Name] proposes a managed Security Operations Center (SOC) service to strengthen [Client Name]’s ability to detect, triage, investigate, and respond to cybersecurity threats. The service is designed for organizations that require improved monitoring coverage, faster response coordination, and clearer security reporting without the cost and complexity of building a full in-house SOC capability.</w:t>
      </w:r>
    </w:p>
    <w:p>
      <w:pPr>
        <w:pStyle w:val="BodyText"/>
      </w:pPr>
      <w:r>
        <w:t xml:space="preserve">This proposal outlines a practical, phased approach to establishing continuous security monitoring and incident handling support. The managed SOC service will help [Client Name] improve visibility across critical systems, reduce detection and response time, and support security governance through defined processes, reporting, and escalation paths.</w:t>
      </w:r>
    </w:p>
    <w:p>
      <w:pPr>
        <w:pStyle w:val="BodyText"/>
      </w:pPr>
      <w:r>
        <w:t xml:space="preserve">The proposed engagement focuses on operational effectiveness. It combines monitoring, alert triage, investigation, escalation, and reporting within a service model that can scale with [Client Name]’s environment and risk profile.</w:t>
      </w:r>
    </w:p>
    <w:bookmarkEnd w:id="9"/>
    <w:bookmarkStart w:id="10" w:name="client-challenges-and-objectives"/>
    <w:p>
      <w:pPr>
        <w:pStyle w:val="Heading2"/>
      </w:pPr>
      <w:r>
        <w:t xml:space="preserve">Client Challenges and Objectives</w:t>
      </w:r>
    </w:p>
    <w:p>
      <w:pPr>
        <w:pStyle w:val="FirstParagraph"/>
      </w:pPr>
      <w:r>
        <w:t xml:space="preserve">Organizations of [Client Name]’s size commonly face several operational security challenges:</w:t>
      </w:r>
    </w:p>
    <w:p>
      <w:pPr>
        <w:pStyle w:val="Compact"/>
        <w:numPr>
          <w:ilvl w:val="0"/>
          <w:numId w:val="1001"/>
        </w:numPr>
      </w:pPr>
      <w:r>
        <w:t xml:space="preserve">Limited in-house capacity for continuous monitoring</w:t>
      </w:r>
    </w:p>
    <w:p>
      <w:pPr>
        <w:pStyle w:val="Compact"/>
        <w:numPr>
          <w:ilvl w:val="0"/>
          <w:numId w:val="1001"/>
        </w:numPr>
      </w:pPr>
      <w:r>
        <w:t xml:space="preserve">High alert volumes with inconsistent triage quality</w:t>
      </w:r>
    </w:p>
    <w:p>
      <w:pPr>
        <w:pStyle w:val="Compact"/>
        <w:numPr>
          <w:ilvl w:val="0"/>
          <w:numId w:val="1001"/>
        </w:numPr>
      </w:pPr>
      <w:r>
        <w:t xml:space="preserve">Gaps in visibility across endpoints, networks, cloud platforms, and identity systems</w:t>
      </w:r>
    </w:p>
    <w:p>
      <w:pPr>
        <w:pStyle w:val="Compact"/>
        <w:numPr>
          <w:ilvl w:val="0"/>
          <w:numId w:val="1001"/>
        </w:numPr>
      </w:pPr>
      <w:r>
        <w:t xml:space="preserve">Slow incident escalation caused by unclear workflows or ownership</w:t>
      </w:r>
    </w:p>
    <w:p>
      <w:pPr>
        <w:pStyle w:val="Compact"/>
        <w:numPr>
          <w:ilvl w:val="0"/>
          <w:numId w:val="1001"/>
        </w:numPr>
      </w:pPr>
      <w:r>
        <w:t xml:space="preserve">Difficulty translating technical activity into management-level reporting</w:t>
      </w:r>
    </w:p>
    <w:p>
      <w:pPr>
        <w:pStyle w:val="FirstParagraph"/>
      </w:pPr>
      <w:r>
        <w:t xml:space="preserve">The primary objectives of this managed SOC engagement are to:</w:t>
      </w:r>
    </w:p>
    <w:p>
      <w:pPr>
        <w:pStyle w:val="Compact"/>
        <w:numPr>
          <w:ilvl w:val="0"/>
          <w:numId w:val="1002"/>
        </w:numPr>
      </w:pPr>
      <w:r>
        <w:t xml:space="preserve">Establish consistent security monitoring coverage for agreed in-scope systems</w:t>
      </w:r>
    </w:p>
    <w:p>
      <w:pPr>
        <w:pStyle w:val="Compact"/>
        <w:numPr>
          <w:ilvl w:val="0"/>
          <w:numId w:val="1002"/>
        </w:numPr>
      </w:pPr>
      <w:r>
        <w:t xml:space="preserve">Improve threat detection and investigation capability</w:t>
      </w:r>
    </w:p>
    <w:p>
      <w:pPr>
        <w:pStyle w:val="Compact"/>
        <w:numPr>
          <w:ilvl w:val="0"/>
          <w:numId w:val="1002"/>
        </w:numPr>
      </w:pPr>
      <w:r>
        <w:t xml:space="preserve">Reduce mean time to detect and escalate security events</w:t>
      </w:r>
    </w:p>
    <w:p>
      <w:pPr>
        <w:pStyle w:val="Compact"/>
        <w:numPr>
          <w:ilvl w:val="0"/>
          <w:numId w:val="1002"/>
        </w:numPr>
      </w:pPr>
      <w:r>
        <w:t xml:space="preserve">Provide structured incident response coordination and communication</w:t>
      </w:r>
    </w:p>
    <w:p>
      <w:pPr>
        <w:pStyle w:val="Compact"/>
        <w:numPr>
          <w:ilvl w:val="0"/>
          <w:numId w:val="1002"/>
        </w:numPr>
      </w:pPr>
      <w:r>
        <w:t xml:space="preserve">Deliver actionable reporting for both technical stakeholders and management</w:t>
      </w:r>
    </w:p>
    <w:bookmarkEnd w:id="10"/>
    <w:bookmarkStart w:id="16" w:name="proposed-managed-soc-services"/>
    <w:p>
      <w:pPr>
        <w:pStyle w:val="Heading2"/>
      </w:pPr>
      <w:r>
        <w:t xml:space="preserve">Proposed Managed SOC Services</w:t>
      </w:r>
    </w:p>
    <w:p>
      <w:pPr>
        <w:pStyle w:val="FirstParagraph"/>
      </w:pPr>
      <w:r>
        <w:t xml:space="preserve">The proposed managed SOC service includes the following core capabilities.</w:t>
      </w:r>
    </w:p>
    <w:bookmarkStart w:id="11" w:name="security-monitoring"/>
    <w:p>
      <w:pPr>
        <w:pStyle w:val="Heading3"/>
      </w:pPr>
      <w:r>
        <w:t xml:space="preserve">1. Security Monitoring</w:t>
      </w:r>
    </w:p>
    <w:p>
      <w:pPr>
        <w:pStyle w:val="FirstParagraph"/>
      </w:pPr>
      <w:r>
        <w:t xml:space="preserve">[Provider Name] will monitor agreed security telemetry and alert sources to identify suspicious activity and potential security incidents. Monitoring coverage may include:</w:t>
      </w:r>
    </w:p>
    <w:p>
      <w:pPr>
        <w:pStyle w:val="Compact"/>
        <w:numPr>
          <w:ilvl w:val="0"/>
          <w:numId w:val="1003"/>
        </w:numPr>
      </w:pPr>
      <w:r>
        <w:t xml:space="preserve">Endpoint detection and response (EDR) alerts</w:t>
      </w:r>
    </w:p>
    <w:p>
      <w:pPr>
        <w:pStyle w:val="Compact"/>
        <w:numPr>
          <w:ilvl w:val="0"/>
          <w:numId w:val="1003"/>
        </w:numPr>
      </w:pPr>
      <w:r>
        <w:t xml:space="preserve">SIEM or log analytics platforms</w:t>
      </w:r>
    </w:p>
    <w:p>
      <w:pPr>
        <w:pStyle w:val="Compact"/>
        <w:numPr>
          <w:ilvl w:val="0"/>
          <w:numId w:val="1003"/>
        </w:numPr>
      </w:pPr>
      <w:r>
        <w:t xml:space="preserve">Firewall, IDS/IPS, VPN, and network security telemetry</w:t>
      </w:r>
    </w:p>
    <w:p>
      <w:pPr>
        <w:pStyle w:val="Compact"/>
        <w:numPr>
          <w:ilvl w:val="0"/>
          <w:numId w:val="1003"/>
        </w:numPr>
      </w:pPr>
      <w:r>
        <w:t xml:space="preserve">Cloud security and audit logs</w:t>
      </w:r>
    </w:p>
    <w:p>
      <w:pPr>
        <w:pStyle w:val="Compact"/>
        <w:numPr>
          <w:ilvl w:val="0"/>
          <w:numId w:val="1003"/>
        </w:numPr>
      </w:pPr>
      <w:r>
        <w:t xml:space="preserve">Identity and access management events</w:t>
      </w:r>
    </w:p>
    <w:p>
      <w:pPr>
        <w:pStyle w:val="Compact"/>
        <w:numPr>
          <w:ilvl w:val="0"/>
          <w:numId w:val="1003"/>
        </w:numPr>
      </w:pPr>
      <w:r>
        <w:t xml:space="preserve">Email security and other critical control alerts</w:t>
      </w:r>
    </w:p>
    <w:p>
      <w:pPr>
        <w:pStyle w:val="FirstParagraph"/>
      </w:pPr>
      <w:r>
        <w:t xml:space="preserve">Monitoring will be aligned to the final scope, technical integrations, and log source availability confirmed during onboarding.</w:t>
      </w:r>
    </w:p>
    <w:bookmarkEnd w:id="11"/>
    <w:bookmarkStart w:id="12" w:name="alert-triage-and-investigation"/>
    <w:p>
      <w:pPr>
        <w:pStyle w:val="Heading3"/>
      </w:pPr>
      <w:r>
        <w:t xml:space="preserve">2. Alert Triage and Investigation</w:t>
      </w:r>
    </w:p>
    <w:p>
      <w:pPr>
        <w:pStyle w:val="FirstParagraph"/>
      </w:pPr>
      <w:r>
        <w:t xml:space="preserve">All in-scope alerts will be reviewed and triaged by SOC analysts in accordance with documented procedures. This includes:</w:t>
      </w:r>
    </w:p>
    <w:p>
      <w:pPr>
        <w:pStyle w:val="Compact"/>
        <w:numPr>
          <w:ilvl w:val="0"/>
          <w:numId w:val="1004"/>
        </w:numPr>
      </w:pPr>
      <w:r>
        <w:t xml:space="preserve">Initial validation of alerts</w:t>
      </w:r>
    </w:p>
    <w:p>
      <w:pPr>
        <w:pStyle w:val="Compact"/>
        <w:numPr>
          <w:ilvl w:val="0"/>
          <w:numId w:val="1004"/>
        </w:numPr>
      </w:pPr>
      <w:r>
        <w:t xml:space="preserve">Prioritization based on severity and potential business impact</w:t>
      </w:r>
    </w:p>
    <w:p>
      <w:pPr>
        <w:pStyle w:val="Compact"/>
        <w:numPr>
          <w:ilvl w:val="0"/>
          <w:numId w:val="1004"/>
        </w:numPr>
      </w:pPr>
      <w:r>
        <w:t xml:space="preserve">Correlation of related events where applicable</w:t>
      </w:r>
    </w:p>
    <w:p>
      <w:pPr>
        <w:pStyle w:val="Compact"/>
        <w:numPr>
          <w:ilvl w:val="0"/>
          <w:numId w:val="1004"/>
        </w:numPr>
      </w:pPr>
      <w:r>
        <w:t xml:space="preserve">Basic and intermediate investigation activities</w:t>
      </w:r>
    </w:p>
    <w:p>
      <w:pPr>
        <w:pStyle w:val="Compact"/>
        <w:numPr>
          <w:ilvl w:val="0"/>
          <w:numId w:val="1004"/>
        </w:numPr>
      </w:pPr>
      <w:r>
        <w:t xml:space="preserve">Identification of false positives and tuning recommendations where patterns are observed</w:t>
      </w:r>
    </w:p>
    <w:bookmarkEnd w:id="12"/>
    <w:bookmarkStart w:id="13" w:name="X0e9c37d83c51b8890b76383aa6a771bde5a6e0c"/>
    <w:p>
      <w:pPr>
        <w:pStyle w:val="Heading3"/>
      </w:pPr>
      <w:r>
        <w:t xml:space="preserve">3. Incident Escalation and Response Coordination</w:t>
      </w:r>
    </w:p>
    <w:p>
      <w:pPr>
        <w:pStyle w:val="FirstParagraph"/>
      </w:pPr>
      <w:r>
        <w:t xml:space="preserve">Where alerts indicate a credible security event or incident, [Provider Name] will escalate to [Client Name]’s designated contacts using agreed communication and severity procedures. Support includes:</w:t>
      </w:r>
    </w:p>
    <w:p>
      <w:pPr>
        <w:pStyle w:val="Compact"/>
        <w:numPr>
          <w:ilvl w:val="0"/>
          <w:numId w:val="1005"/>
        </w:numPr>
      </w:pPr>
      <w:r>
        <w:t xml:space="preserve">Incident classification and severity assignment</w:t>
      </w:r>
    </w:p>
    <w:p>
      <w:pPr>
        <w:pStyle w:val="Compact"/>
        <w:numPr>
          <w:ilvl w:val="0"/>
          <w:numId w:val="1005"/>
        </w:numPr>
      </w:pPr>
      <w:r>
        <w:t xml:space="preserve">Notification to authorized stakeholders</w:t>
      </w:r>
    </w:p>
    <w:p>
      <w:pPr>
        <w:pStyle w:val="Compact"/>
        <w:numPr>
          <w:ilvl w:val="0"/>
          <w:numId w:val="1005"/>
        </w:numPr>
      </w:pPr>
      <w:r>
        <w:t xml:space="preserve">Recommended containment and remediation actions</w:t>
      </w:r>
    </w:p>
    <w:p>
      <w:pPr>
        <w:pStyle w:val="Compact"/>
        <w:numPr>
          <w:ilvl w:val="0"/>
          <w:numId w:val="1005"/>
        </w:numPr>
      </w:pPr>
      <w:r>
        <w:t xml:space="preserve">Coordination support during active incidents</w:t>
      </w:r>
    </w:p>
    <w:p>
      <w:pPr>
        <w:pStyle w:val="Compact"/>
        <w:numPr>
          <w:ilvl w:val="0"/>
          <w:numId w:val="1005"/>
        </w:numPr>
      </w:pPr>
      <w:r>
        <w:t xml:space="preserve">Tracking of incident status through closure</w:t>
      </w:r>
    </w:p>
    <w:p>
      <w:pPr>
        <w:pStyle w:val="FirstParagraph"/>
      </w:pPr>
      <w:r>
        <w:t xml:space="preserve">This proposal assumes that [Client Name] retains authority for business decisions, system changes, and final remediation approval unless separately agreed.</w:t>
      </w:r>
    </w:p>
    <w:bookmarkEnd w:id="13"/>
    <w:bookmarkStart w:id="14" w:name="threat-detection-improvement"/>
    <w:p>
      <w:pPr>
        <w:pStyle w:val="Heading3"/>
      </w:pPr>
      <w:r>
        <w:t xml:space="preserve">4. Threat Detection Improvement</w:t>
      </w:r>
    </w:p>
    <w:p>
      <w:pPr>
        <w:pStyle w:val="FirstParagraph"/>
      </w:pPr>
      <w:r>
        <w:t xml:space="preserve">The managed SOC function will include ongoing refinement of detection quality over time. This may include:</w:t>
      </w:r>
    </w:p>
    <w:p>
      <w:pPr>
        <w:pStyle w:val="Compact"/>
        <w:numPr>
          <w:ilvl w:val="0"/>
          <w:numId w:val="1006"/>
        </w:numPr>
      </w:pPr>
      <w:r>
        <w:t xml:space="preserve">Review of recurring false positives</w:t>
      </w:r>
    </w:p>
    <w:p>
      <w:pPr>
        <w:pStyle w:val="Compact"/>
        <w:numPr>
          <w:ilvl w:val="0"/>
          <w:numId w:val="1006"/>
        </w:numPr>
      </w:pPr>
      <w:r>
        <w:t xml:space="preserve">Recommendations for use case tuning</w:t>
      </w:r>
    </w:p>
    <w:p>
      <w:pPr>
        <w:pStyle w:val="Compact"/>
        <w:numPr>
          <w:ilvl w:val="0"/>
          <w:numId w:val="1006"/>
        </w:numPr>
      </w:pPr>
      <w:r>
        <w:t xml:space="preserve">Identification of visibility gaps</w:t>
      </w:r>
    </w:p>
    <w:p>
      <w:pPr>
        <w:pStyle w:val="Compact"/>
        <w:numPr>
          <w:ilvl w:val="0"/>
          <w:numId w:val="1006"/>
        </w:numPr>
      </w:pPr>
      <w:r>
        <w:t xml:space="preserve">Proposals for additional log sources or security controls</w:t>
      </w:r>
    </w:p>
    <w:bookmarkEnd w:id="14"/>
    <w:bookmarkStart w:id="15" w:name="reporting-and-service-governance"/>
    <w:p>
      <w:pPr>
        <w:pStyle w:val="Heading3"/>
      </w:pPr>
      <w:r>
        <w:t xml:space="preserve">5. Reporting and Service Governance</w:t>
      </w:r>
    </w:p>
    <w:p>
      <w:pPr>
        <w:pStyle w:val="FirstParagraph"/>
      </w:pPr>
      <w:r>
        <w:t xml:space="preserve">[Provider Name] will provide regular reporting to support operational transparency and governance. Reporting will typically include:</w:t>
      </w:r>
    </w:p>
    <w:p>
      <w:pPr>
        <w:pStyle w:val="Compact"/>
        <w:numPr>
          <w:ilvl w:val="0"/>
          <w:numId w:val="1007"/>
        </w:numPr>
      </w:pPr>
      <w:r>
        <w:t xml:space="preserve">Alert and incident volume summaries</w:t>
      </w:r>
    </w:p>
    <w:p>
      <w:pPr>
        <w:pStyle w:val="Compact"/>
        <w:numPr>
          <w:ilvl w:val="0"/>
          <w:numId w:val="1007"/>
        </w:numPr>
      </w:pPr>
      <w:r>
        <w:t xml:space="preserve">Incident trends and severity distribution</w:t>
      </w:r>
    </w:p>
    <w:p>
      <w:pPr>
        <w:pStyle w:val="Compact"/>
        <w:numPr>
          <w:ilvl w:val="0"/>
          <w:numId w:val="1007"/>
        </w:numPr>
      </w:pPr>
      <w:r>
        <w:t xml:space="preserve">Notable investigations and response outcomes</w:t>
      </w:r>
    </w:p>
    <w:p>
      <w:pPr>
        <w:pStyle w:val="Compact"/>
        <w:numPr>
          <w:ilvl w:val="0"/>
          <w:numId w:val="1007"/>
        </w:numPr>
      </w:pPr>
      <w:r>
        <w:t xml:space="preserve">Response performance observations</w:t>
      </w:r>
    </w:p>
    <w:p>
      <w:pPr>
        <w:pStyle w:val="Compact"/>
        <w:numPr>
          <w:ilvl w:val="0"/>
          <w:numId w:val="1007"/>
        </w:numPr>
      </w:pPr>
      <w:r>
        <w:t xml:space="preserve">Open issues, risks, and improvement recommendations</w:t>
      </w:r>
    </w:p>
    <w:p>
      <w:pPr>
        <w:pStyle w:val="FirstParagraph"/>
      </w:pPr>
      <w:r>
        <w:t xml:space="preserve">Governance meetings may be scheduled on a recurring basis to review service performance, discuss incidents, and confirm priorities.</w:t>
      </w:r>
    </w:p>
    <w:bookmarkEnd w:id="15"/>
    <w:bookmarkEnd w:id="16"/>
    <w:bookmarkStart w:id="20" w:name="service-scope-and-responsibilities"/>
    <w:p>
      <w:pPr>
        <w:pStyle w:val="Heading2"/>
      </w:pPr>
      <w:r>
        <w:t xml:space="preserve">Service Scope and Responsibilities</w:t>
      </w:r>
    </w:p>
    <w:bookmarkStart w:id="17" w:name="in-scope"/>
    <w:p>
      <w:pPr>
        <w:pStyle w:val="Heading3"/>
      </w:pPr>
      <w:r>
        <w:t xml:space="preserve">In Scope</w:t>
      </w:r>
    </w:p>
    <w:p>
      <w:pPr>
        <w:pStyle w:val="FirstParagraph"/>
      </w:pPr>
      <w:r>
        <w:t xml:space="preserve">The managed SOC service is expected to cover the following activities:</w:t>
      </w:r>
    </w:p>
    <w:p>
      <w:pPr>
        <w:pStyle w:val="Compact"/>
        <w:numPr>
          <w:ilvl w:val="0"/>
          <w:numId w:val="1008"/>
        </w:numPr>
      </w:pPr>
      <w:r>
        <w:t xml:space="preserve">Continuous review of in-scope security alerts</w:t>
      </w:r>
    </w:p>
    <w:p>
      <w:pPr>
        <w:pStyle w:val="Compact"/>
        <w:numPr>
          <w:ilvl w:val="0"/>
          <w:numId w:val="1008"/>
        </w:numPr>
      </w:pPr>
      <w:r>
        <w:t xml:space="preserve">Analyst-led triage and investigation</w:t>
      </w:r>
    </w:p>
    <w:p>
      <w:pPr>
        <w:pStyle w:val="Compact"/>
        <w:numPr>
          <w:ilvl w:val="0"/>
          <w:numId w:val="1008"/>
        </w:numPr>
      </w:pPr>
      <w:r>
        <w:t xml:space="preserve">Escalation of validated security events</w:t>
      </w:r>
    </w:p>
    <w:p>
      <w:pPr>
        <w:pStyle w:val="Compact"/>
        <w:numPr>
          <w:ilvl w:val="0"/>
          <w:numId w:val="1008"/>
        </w:numPr>
      </w:pPr>
      <w:r>
        <w:t xml:space="preserve">Incident coordination support</w:t>
      </w:r>
    </w:p>
    <w:p>
      <w:pPr>
        <w:pStyle w:val="Compact"/>
        <w:numPr>
          <w:ilvl w:val="0"/>
          <w:numId w:val="1008"/>
        </w:numPr>
      </w:pPr>
      <w:r>
        <w:t xml:space="preserve">Routine service reporting</w:t>
      </w:r>
    </w:p>
    <w:p>
      <w:pPr>
        <w:pStyle w:val="Compact"/>
        <w:numPr>
          <w:ilvl w:val="0"/>
          <w:numId w:val="1008"/>
        </w:numPr>
      </w:pPr>
      <w:r>
        <w:t xml:space="preserve">Recommendations for monitoring and detection improvement</w:t>
      </w:r>
    </w:p>
    <w:bookmarkEnd w:id="17"/>
    <w:bookmarkStart w:id="18" w:name="client-responsibilities"/>
    <w:p>
      <w:pPr>
        <w:pStyle w:val="Heading3"/>
      </w:pPr>
      <w:r>
        <w:t xml:space="preserve">Client Responsibilities</w:t>
      </w:r>
    </w:p>
    <w:p>
      <w:pPr>
        <w:pStyle w:val="FirstParagraph"/>
      </w:pPr>
      <w:r>
        <w:t xml:space="preserve">To enable effective delivery, [Client Name] will be responsible for:</w:t>
      </w:r>
    </w:p>
    <w:p>
      <w:pPr>
        <w:pStyle w:val="Compact"/>
        <w:numPr>
          <w:ilvl w:val="0"/>
          <w:numId w:val="1009"/>
        </w:numPr>
      </w:pPr>
      <w:r>
        <w:t xml:space="preserve">Providing access to agreed security tools, logs, and documentation</w:t>
      </w:r>
    </w:p>
    <w:p>
      <w:pPr>
        <w:pStyle w:val="Compact"/>
        <w:numPr>
          <w:ilvl w:val="0"/>
          <w:numId w:val="1009"/>
        </w:numPr>
      </w:pPr>
      <w:r>
        <w:t xml:space="preserve">Identifying technical and business points of contact</w:t>
      </w:r>
    </w:p>
    <w:p>
      <w:pPr>
        <w:pStyle w:val="Compact"/>
        <w:numPr>
          <w:ilvl w:val="0"/>
          <w:numId w:val="1009"/>
        </w:numPr>
      </w:pPr>
      <w:r>
        <w:t xml:space="preserve">Confirming escalation paths and notification requirements</w:t>
      </w:r>
    </w:p>
    <w:p>
      <w:pPr>
        <w:pStyle w:val="Compact"/>
        <w:numPr>
          <w:ilvl w:val="0"/>
          <w:numId w:val="1009"/>
        </w:numPr>
      </w:pPr>
      <w:r>
        <w:t xml:space="preserve">Supporting onboarding workshops and data validation</w:t>
      </w:r>
    </w:p>
    <w:p>
      <w:pPr>
        <w:pStyle w:val="Compact"/>
        <w:numPr>
          <w:ilvl w:val="0"/>
          <w:numId w:val="1009"/>
        </w:numPr>
      </w:pPr>
      <w:r>
        <w:t xml:space="preserve">Executing approved containment, remediation, and recovery actions</w:t>
      </w:r>
    </w:p>
    <w:p>
      <w:pPr>
        <w:pStyle w:val="Compact"/>
        <w:numPr>
          <w:ilvl w:val="0"/>
          <w:numId w:val="1009"/>
        </w:numPr>
      </w:pPr>
      <w:r>
        <w:t xml:space="preserve">Maintaining ownership of internal policy, risk acceptance, and operational decisions</w:t>
      </w:r>
    </w:p>
    <w:bookmarkEnd w:id="18"/>
    <w:bookmarkStart w:id="19" w:name="provider-responsibilities"/>
    <w:p>
      <w:pPr>
        <w:pStyle w:val="Heading3"/>
      </w:pPr>
      <w:r>
        <w:t xml:space="preserve">Provider Responsibilities</w:t>
      </w:r>
    </w:p>
    <w:p>
      <w:pPr>
        <w:pStyle w:val="FirstParagraph"/>
      </w:pPr>
      <w:r>
        <w:t xml:space="preserve">[Provider Name] will be responsible for:</w:t>
      </w:r>
    </w:p>
    <w:p>
      <w:pPr>
        <w:pStyle w:val="Compact"/>
        <w:numPr>
          <w:ilvl w:val="0"/>
          <w:numId w:val="1010"/>
        </w:numPr>
      </w:pPr>
      <w:r>
        <w:t xml:space="preserve">Delivering managed SOC services for the agreed scope</w:t>
      </w:r>
    </w:p>
    <w:p>
      <w:pPr>
        <w:pStyle w:val="Compact"/>
        <w:numPr>
          <w:ilvl w:val="0"/>
          <w:numId w:val="1010"/>
        </w:numPr>
      </w:pPr>
      <w:r>
        <w:t xml:space="preserve">Maintaining documented monitoring and escalation procedures</w:t>
      </w:r>
    </w:p>
    <w:p>
      <w:pPr>
        <w:pStyle w:val="Compact"/>
        <w:numPr>
          <w:ilvl w:val="0"/>
          <w:numId w:val="1010"/>
        </w:numPr>
      </w:pPr>
      <w:r>
        <w:t xml:space="preserve">Performing alert triage and investigation activities</w:t>
      </w:r>
    </w:p>
    <w:p>
      <w:pPr>
        <w:pStyle w:val="Compact"/>
        <w:numPr>
          <w:ilvl w:val="0"/>
          <w:numId w:val="1010"/>
        </w:numPr>
      </w:pPr>
      <w:r>
        <w:t xml:space="preserve">Escalating incidents according to agreed SLAs or response targets</w:t>
      </w:r>
    </w:p>
    <w:p>
      <w:pPr>
        <w:pStyle w:val="Compact"/>
        <w:numPr>
          <w:ilvl w:val="0"/>
          <w:numId w:val="1010"/>
        </w:numPr>
      </w:pPr>
      <w:r>
        <w:t xml:space="preserve">Producing periodic service and incident reporting</w:t>
      </w:r>
    </w:p>
    <w:p>
      <w:pPr>
        <w:pStyle w:val="Compact"/>
        <w:numPr>
          <w:ilvl w:val="0"/>
          <w:numId w:val="1010"/>
        </w:numPr>
      </w:pPr>
      <w:r>
        <w:t xml:space="preserve">Recommending operational improvements where appropriate</w:t>
      </w:r>
    </w:p>
    <w:bookmarkEnd w:id="19"/>
    <w:bookmarkEnd w:id="20"/>
    <w:bookmarkStart w:id="24" w:name="operating-model-and-delivery-approach"/>
    <w:p>
      <w:pPr>
        <w:pStyle w:val="Heading2"/>
      </w:pPr>
      <w:r>
        <w:t xml:space="preserve">Operating Model and Delivery Approach</w:t>
      </w:r>
    </w:p>
    <w:p>
      <w:pPr>
        <w:pStyle w:val="FirstParagraph"/>
      </w:pPr>
      <w:r>
        <w:t xml:space="preserve">The proposed operating model is designed to be practical, structured, and easy to govern.</w:t>
      </w:r>
    </w:p>
    <w:bookmarkStart w:id="21" w:name="service-model"/>
    <w:p>
      <w:pPr>
        <w:pStyle w:val="Heading3"/>
      </w:pPr>
      <w:r>
        <w:t xml:space="preserve">Service Model</w:t>
      </w:r>
    </w:p>
    <w:p>
      <w:pPr>
        <w:pStyle w:val="Compact"/>
        <w:numPr>
          <w:ilvl w:val="0"/>
          <w:numId w:val="1011"/>
        </w:numPr>
      </w:pPr>
      <w:r>
        <w:t xml:space="preserve">Managed SOC support delivered by [Provider Name]’s security operations team</w:t>
      </w:r>
    </w:p>
    <w:p>
      <w:pPr>
        <w:pStyle w:val="Compact"/>
        <w:numPr>
          <w:ilvl w:val="0"/>
          <w:numId w:val="1011"/>
        </w:numPr>
      </w:pPr>
      <w:r>
        <w:t xml:space="preserve">Coverage aligned to the final service schedule and contractual scope</w:t>
      </w:r>
    </w:p>
    <w:p>
      <w:pPr>
        <w:pStyle w:val="Compact"/>
        <w:numPr>
          <w:ilvl w:val="0"/>
          <w:numId w:val="1011"/>
        </w:numPr>
      </w:pPr>
      <w:r>
        <w:t xml:space="preserve">Defined severity levels, escalation paths, and communication channels</w:t>
      </w:r>
    </w:p>
    <w:p>
      <w:pPr>
        <w:pStyle w:val="Compact"/>
        <w:numPr>
          <w:ilvl w:val="0"/>
          <w:numId w:val="1011"/>
        </w:numPr>
      </w:pPr>
      <w:r>
        <w:t xml:space="preserve">Standard operating procedures for triage, investigation, and incident handling</w:t>
      </w:r>
    </w:p>
    <w:bookmarkEnd w:id="21"/>
    <w:bookmarkStart w:id="22" w:name="escalation-framework"/>
    <w:p>
      <w:pPr>
        <w:pStyle w:val="Heading3"/>
      </w:pPr>
      <w:r>
        <w:t xml:space="preserve">Escalation Framework</w:t>
      </w:r>
    </w:p>
    <w:p>
      <w:pPr>
        <w:pStyle w:val="FirstParagraph"/>
      </w:pPr>
      <w:r>
        <w:t xml:space="preserve">Incidents will be escalated based on business impact, urgency, and technical severity. The final workflow will be agreed during service onboarding, including:</w:t>
      </w:r>
    </w:p>
    <w:p>
      <w:pPr>
        <w:pStyle w:val="Compact"/>
        <w:numPr>
          <w:ilvl w:val="0"/>
          <w:numId w:val="1012"/>
        </w:numPr>
      </w:pPr>
      <w:r>
        <w:t xml:space="preserve">Severity definitions</w:t>
      </w:r>
    </w:p>
    <w:p>
      <w:pPr>
        <w:pStyle w:val="Compact"/>
        <w:numPr>
          <w:ilvl w:val="0"/>
          <w:numId w:val="1012"/>
        </w:numPr>
      </w:pPr>
      <w:r>
        <w:t xml:space="preserve">Notification methods</w:t>
      </w:r>
    </w:p>
    <w:p>
      <w:pPr>
        <w:pStyle w:val="Compact"/>
        <w:numPr>
          <w:ilvl w:val="0"/>
          <w:numId w:val="1012"/>
        </w:numPr>
      </w:pPr>
      <w:r>
        <w:t xml:space="preserve">Required client contacts</w:t>
      </w:r>
    </w:p>
    <w:p>
      <w:pPr>
        <w:pStyle w:val="Compact"/>
        <w:numPr>
          <w:ilvl w:val="0"/>
          <w:numId w:val="1012"/>
        </w:numPr>
      </w:pPr>
      <w:r>
        <w:t xml:space="preserve">Escalation time targets</w:t>
      </w:r>
    </w:p>
    <w:p>
      <w:pPr>
        <w:pStyle w:val="Compact"/>
        <w:numPr>
          <w:ilvl w:val="0"/>
          <w:numId w:val="1012"/>
        </w:numPr>
      </w:pPr>
      <w:r>
        <w:t xml:space="preserve">Major incident coordination expectations</w:t>
      </w:r>
    </w:p>
    <w:bookmarkEnd w:id="22"/>
    <w:bookmarkStart w:id="23" w:name="communication-and-governance"/>
    <w:p>
      <w:pPr>
        <w:pStyle w:val="Heading3"/>
      </w:pPr>
      <w:r>
        <w:t xml:space="preserve">Communication and Governance</w:t>
      </w:r>
    </w:p>
    <w:p>
      <w:pPr>
        <w:pStyle w:val="FirstParagraph"/>
      </w:pPr>
      <w:r>
        <w:t xml:space="preserve">Service communication will be managed through agreed channels such as email, ticketing, messaging, and scheduled review calls. Governance will focus on:</w:t>
      </w:r>
    </w:p>
    <w:p>
      <w:pPr>
        <w:pStyle w:val="Compact"/>
        <w:numPr>
          <w:ilvl w:val="0"/>
          <w:numId w:val="1013"/>
        </w:numPr>
      </w:pPr>
      <w:r>
        <w:t xml:space="preserve">Service performance</w:t>
      </w:r>
    </w:p>
    <w:p>
      <w:pPr>
        <w:pStyle w:val="Compact"/>
        <w:numPr>
          <w:ilvl w:val="0"/>
          <w:numId w:val="1013"/>
        </w:numPr>
      </w:pPr>
      <w:r>
        <w:t xml:space="preserve">Incident review</w:t>
      </w:r>
    </w:p>
    <w:p>
      <w:pPr>
        <w:pStyle w:val="Compact"/>
        <w:numPr>
          <w:ilvl w:val="0"/>
          <w:numId w:val="1013"/>
        </w:numPr>
      </w:pPr>
      <w:r>
        <w:t xml:space="preserve">Trends and recurring issues</w:t>
      </w:r>
    </w:p>
    <w:p>
      <w:pPr>
        <w:pStyle w:val="Compact"/>
        <w:numPr>
          <w:ilvl w:val="0"/>
          <w:numId w:val="1013"/>
        </w:numPr>
      </w:pPr>
      <w:r>
        <w:t xml:space="preserve">Opportunities for control improvement</w:t>
      </w:r>
    </w:p>
    <w:p>
      <w:pPr>
        <w:pStyle w:val="Compact"/>
        <w:numPr>
          <w:ilvl w:val="0"/>
          <w:numId w:val="1013"/>
        </w:numPr>
      </w:pPr>
      <w:r>
        <w:t xml:space="preserve">Scope or integration changes</w:t>
      </w:r>
    </w:p>
    <w:bookmarkEnd w:id="23"/>
    <w:bookmarkEnd w:id="24"/>
    <w:bookmarkStart w:id="29" w:name="onboarding-and-implementation-phases"/>
    <w:p>
      <w:pPr>
        <w:pStyle w:val="Heading2"/>
      </w:pPr>
      <w:r>
        <w:t xml:space="preserve">Onboarding and Implementation Phases</w:t>
      </w:r>
    </w:p>
    <w:p>
      <w:pPr>
        <w:pStyle w:val="FirstParagraph"/>
      </w:pPr>
      <w:r>
        <w:t xml:space="preserve">The engagement should be delivered in phases to reduce implementation risk and establish operational clarity.</w:t>
      </w:r>
    </w:p>
    <w:bookmarkStart w:id="25" w:name="phase-1-initiation-and-discovery"/>
    <w:p>
      <w:pPr>
        <w:pStyle w:val="Heading3"/>
      </w:pPr>
      <w:r>
        <w:t xml:space="preserve">Phase 1: Initiation and Discovery</w:t>
      </w:r>
    </w:p>
    <w:p>
      <w:pPr>
        <w:pStyle w:val="Compact"/>
        <w:numPr>
          <w:ilvl w:val="0"/>
          <w:numId w:val="1014"/>
        </w:numPr>
      </w:pPr>
      <w:r>
        <w:t xml:space="preserve">Confirm business objectives and scope</w:t>
      </w:r>
    </w:p>
    <w:p>
      <w:pPr>
        <w:pStyle w:val="Compact"/>
        <w:numPr>
          <w:ilvl w:val="0"/>
          <w:numId w:val="1014"/>
        </w:numPr>
      </w:pPr>
      <w:r>
        <w:t xml:space="preserve">Identify in-scope systems, tools, and log sources</w:t>
      </w:r>
    </w:p>
    <w:p>
      <w:pPr>
        <w:pStyle w:val="Compact"/>
        <w:numPr>
          <w:ilvl w:val="0"/>
          <w:numId w:val="1014"/>
        </w:numPr>
      </w:pPr>
      <w:r>
        <w:t xml:space="preserve">Review current security processes and escalation contacts</w:t>
      </w:r>
    </w:p>
    <w:p>
      <w:pPr>
        <w:pStyle w:val="Compact"/>
        <w:numPr>
          <w:ilvl w:val="0"/>
          <w:numId w:val="1014"/>
        </w:numPr>
      </w:pPr>
      <w:r>
        <w:t xml:space="preserve">Validate technical prerequisites and access requirements</w:t>
      </w:r>
    </w:p>
    <w:bookmarkEnd w:id="25"/>
    <w:bookmarkStart w:id="26" w:name="Xfcb5caaddfeb6be89599b98c6462554a10835b1"/>
    <w:p>
      <w:pPr>
        <w:pStyle w:val="Heading3"/>
      </w:pPr>
      <w:r>
        <w:t xml:space="preserve">Phase 2: Integration and Use Case Validation</w:t>
      </w:r>
    </w:p>
    <w:p>
      <w:pPr>
        <w:pStyle w:val="Compact"/>
        <w:numPr>
          <w:ilvl w:val="0"/>
          <w:numId w:val="1015"/>
        </w:numPr>
      </w:pPr>
      <w:r>
        <w:t xml:space="preserve">Connect or validate agreed monitoring sources</w:t>
      </w:r>
    </w:p>
    <w:p>
      <w:pPr>
        <w:pStyle w:val="Compact"/>
        <w:numPr>
          <w:ilvl w:val="0"/>
          <w:numId w:val="1015"/>
        </w:numPr>
      </w:pPr>
      <w:r>
        <w:t xml:space="preserve">Review alert quality and detection coverage</w:t>
      </w:r>
    </w:p>
    <w:p>
      <w:pPr>
        <w:pStyle w:val="Compact"/>
        <w:numPr>
          <w:ilvl w:val="0"/>
          <w:numId w:val="1015"/>
        </w:numPr>
      </w:pPr>
      <w:r>
        <w:t xml:space="preserve">Confirm severity model and triage workflow</w:t>
      </w:r>
    </w:p>
    <w:p>
      <w:pPr>
        <w:pStyle w:val="Compact"/>
        <w:numPr>
          <w:ilvl w:val="0"/>
          <w:numId w:val="1015"/>
        </w:numPr>
      </w:pPr>
      <w:r>
        <w:t xml:space="preserve">Establish reporting format and governance cadence</w:t>
      </w:r>
    </w:p>
    <w:bookmarkEnd w:id="26"/>
    <w:bookmarkStart w:id="27" w:name="phase-3-go-live-and-stabilization"/>
    <w:p>
      <w:pPr>
        <w:pStyle w:val="Heading3"/>
      </w:pPr>
      <w:r>
        <w:t xml:space="preserve">Phase 3: Go-Live and Stabilization</w:t>
      </w:r>
    </w:p>
    <w:p>
      <w:pPr>
        <w:pStyle w:val="Compact"/>
        <w:numPr>
          <w:ilvl w:val="0"/>
          <w:numId w:val="1016"/>
        </w:numPr>
      </w:pPr>
      <w:r>
        <w:t xml:space="preserve">Begin managed monitoring operations</w:t>
      </w:r>
    </w:p>
    <w:p>
      <w:pPr>
        <w:pStyle w:val="Compact"/>
        <w:numPr>
          <w:ilvl w:val="0"/>
          <w:numId w:val="1016"/>
        </w:numPr>
      </w:pPr>
      <w:r>
        <w:t xml:space="preserve">Tune initial detections and workflows where needed</w:t>
      </w:r>
    </w:p>
    <w:p>
      <w:pPr>
        <w:pStyle w:val="Compact"/>
        <w:numPr>
          <w:ilvl w:val="0"/>
          <w:numId w:val="1016"/>
        </w:numPr>
      </w:pPr>
      <w:r>
        <w:t xml:space="preserve">Validate communications and escalation effectiveness</w:t>
      </w:r>
    </w:p>
    <w:p>
      <w:pPr>
        <w:pStyle w:val="Compact"/>
        <w:numPr>
          <w:ilvl w:val="0"/>
          <w:numId w:val="1016"/>
        </w:numPr>
      </w:pPr>
      <w:r>
        <w:t xml:space="preserve">Review early incident handling outcomes</w:t>
      </w:r>
    </w:p>
    <w:bookmarkEnd w:id="27"/>
    <w:bookmarkStart w:id="28" w:name="phase-4-steady-state-operations"/>
    <w:p>
      <w:pPr>
        <w:pStyle w:val="Heading3"/>
      </w:pPr>
      <w:r>
        <w:t xml:space="preserve">Phase 4: Steady-State Operations</w:t>
      </w:r>
    </w:p>
    <w:p>
      <w:pPr>
        <w:pStyle w:val="Compact"/>
        <w:numPr>
          <w:ilvl w:val="0"/>
          <w:numId w:val="1017"/>
        </w:numPr>
      </w:pPr>
      <w:r>
        <w:t xml:space="preserve">Deliver ongoing monitoring and investigation</w:t>
      </w:r>
    </w:p>
    <w:p>
      <w:pPr>
        <w:pStyle w:val="Compact"/>
        <w:numPr>
          <w:ilvl w:val="0"/>
          <w:numId w:val="1017"/>
        </w:numPr>
      </w:pPr>
      <w:r>
        <w:t xml:space="preserve">Provide regular reporting and service reviews</w:t>
      </w:r>
    </w:p>
    <w:p>
      <w:pPr>
        <w:pStyle w:val="Compact"/>
        <w:numPr>
          <w:ilvl w:val="0"/>
          <w:numId w:val="1017"/>
        </w:numPr>
      </w:pPr>
      <w:r>
        <w:t xml:space="preserve">Recommend incremental improvements to detection and response maturity</w:t>
      </w:r>
    </w:p>
    <w:bookmarkEnd w:id="28"/>
    <w:bookmarkEnd w:id="29"/>
    <w:bookmarkStart w:id="30" w:name="deliverables"/>
    <w:p>
      <w:pPr>
        <w:pStyle w:val="Heading2"/>
      </w:pPr>
      <w:r>
        <w:t xml:space="preserve">Deliverables</w:t>
      </w:r>
    </w:p>
    <w:p>
      <w:pPr>
        <w:pStyle w:val="FirstParagraph"/>
      </w:pPr>
      <w:r>
        <w:t xml:space="preserve">The managed SOC engagement is expected to produce the following deliverables:</w:t>
      </w:r>
    </w:p>
    <w:p>
      <w:pPr>
        <w:pStyle w:val="Compact"/>
        <w:numPr>
          <w:ilvl w:val="0"/>
          <w:numId w:val="1018"/>
        </w:numPr>
      </w:pPr>
      <w:r>
        <w:t xml:space="preserve">Service onboarding and scope confirmation documentation</w:t>
      </w:r>
    </w:p>
    <w:p>
      <w:pPr>
        <w:pStyle w:val="Compact"/>
        <w:numPr>
          <w:ilvl w:val="0"/>
          <w:numId w:val="1018"/>
        </w:numPr>
      </w:pPr>
      <w:r>
        <w:t xml:space="preserve">Agreed escalation matrix and contact model</w:t>
      </w:r>
    </w:p>
    <w:p>
      <w:pPr>
        <w:pStyle w:val="Compact"/>
        <w:numPr>
          <w:ilvl w:val="0"/>
          <w:numId w:val="1018"/>
        </w:numPr>
      </w:pPr>
      <w:r>
        <w:t xml:space="preserve">Operational procedures for alert triage and incident escalation</w:t>
      </w:r>
    </w:p>
    <w:p>
      <w:pPr>
        <w:pStyle w:val="Compact"/>
        <w:numPr>
          <w:ilvl w:val="0"/>
          <w:numId w:val="1018"/>
        </w:numPr>
      </w:pPr>
      <w:r>
        <w:t xml:space="preserve">Periodic SOC service reports</w:t>
      </w:r>
    </w:p>
    <w:p>
      <w:pPr>
        <w:pStyle w:val="Compact"/>
        <w:numPr>
          <w:ilvl w:val="0"/>
          <w:numId w:val="1018"/>
        </w:numPr>
      </w:pPr>
      <w:r>
        <w:t xml:space="preserve">Incident records and investigation summaries for escalated cases</w:t>
      </w:r>
    </w:p>
    <w:p>
      <w:pPr>
        <w:pStyle w:val="Compact"/>
        <w:numPr>
          <w:ilvl w:val="0"/>
          <w:numId w:val="1018"/>
        </w:numPr>
      </w:pPr>
      <w:r>
        <w:t xml:space="preserve">Detection and monitoring improvement recommendations</w:t>
      </w:r>
    </w:p>
    <w:bookmarkEnd w:id="30"/>
    <w:bookmarkStart w:id="31" w:name="benefits-to-client-name"/>
    <w:p>
      <w:pPr>
        <w:pStyle w:val="Heading2"/>
      </w:pPr>
      <w:r>
        <w:t xml:space="preserve">Benefits to [Client Name]</w:t>
      </w:r>
    </w:p>
    <w:p>
      <w:pPr>
        <w:pStyle w:val="FirstParagraph"/>
      </w:pPr>
      <w:r>
        <w:t xml:space="preserve">The proposed managed SOC service is intended to provide the following business and operational benefits:</w:t>
      </w:r>
    </w:p>
    <w:p>
      <w:pPr>
        <w:pStyle w:val="Compact"/>
        <w:numPr>
          <w:ilvl w:val="0"/>
          <w:numId w:val="1019"/>
        </w:numPr>
      </w:pPr>
      <w:r>
        <w:t xml:space="preserve">Improved visibility into suspicious and malicious activity</w:t>
      </w:r>
    </w:p>
    <w:p>
      <w:pPr>
        <w:pStyle w:val="Compact"/>
        <w:numPr>
          <w:ilvl w:val="0"/>
          <w:numId w:val="1019"/>
        </w:numPr>
      </w:pPr>
      <w:r>
        <w:t xml:space="preserve">Faster identification and escalation of security incidents</w:t>
      </w:r>
    </w:p>
    <w:p>
      <w:pPr>
        <w:pStyle w:val="Compact"/>
        <w:numPr>
          <w:ilvl w:val="0"/>
          <w:numId w:val="1019"/>
        </w:numPr>
      </w:pPr>
      <w:r>
        <w:t xml:space="preserve">More consistent analyst-led triage and investigation</w:t>
      </w:r>
    </w:p>
    <w:p>
      <w:pPr>
        <w:pStyle w:val="Compact"/>
        <w:numPr>
          <w:ilvl w:val="0"/>
          <w:numId w:val="1019"/>
        </w:numPr>
      </w:pPr>
      <w:r>
        <w:t xml:space="preserve">Stronger operational discipline for incident handling</w:t>
      </w:r>
    </w:p>
    <w:p>
      <w:pPr>
        <w:pStyle w:val="Compact"/>
        <w:numPr>
          <w:ilvl w:val="0"/>
          <w:numId w:val="1019"/>
        </w:numPr>
      </w:pPr>
      <w:r>
        <w:t xml:space="preserve">Better reporting for technical teams and management stakeholders</w:t>
      </w:r>
    </w:p>
    <w:p>
      <w:pPr>
        <w:pStyle w:val="Compact"/>
        <w:numPr>
          <w:ilvl w:val="0"/>
          <w:numId w:val="1019"/>
        </w:numPr>
      </w:pPr>
      <w:r>
        <w:t xml:space="preserve">A scalable security operations capability without immediate internal SOC buildout</w:t>
      </w:r>
    </w:p>
    <w:bookmarkEnd w:id="31"/>
    <w:bookmarkStart w:id="35" w:name="assumptions-exclusions-and-dependencies"/>
    <w:p>
      <w:pPr>
        <w:pStyle w:val="Heading2"/>
      </w:pPr>
      <w:r>
        <w:t xml:space="preserve">Assumptions, Exclusions, and Dependencies</w:t>
      </w:r>
    </w:p>
    <w:bookmarkStart w:id="32" w:name="assumptions"/>
    <w:p>
      <w:pPr>
        <w:pStyle w:val="Heading3"/>
      </w:pPr>
      <w:r>
        <w:t xml:space="preserve">Assumptions</w:t>
      </w:r>
    </w:p>
    <w:p>
      <w:pPr>
        <w:pStyle w:val="Compact"/>
        <w:numPr>
          <w:ilvl w:val="0"/>
          <w:numId w:val="1020"/>
        </w:numPr>
      </w:pPr>
      <w:r>
        <w:t xml:space="preserve">[Client Name] will provide timely access to agreed systems, logs, and tools</w:t>
      </w:r>
    </w:p>
    <w:p>
      <w:pPr>
        <w:pStyle w:val="Compact"/>
        <w:numPr>
          <w:ilvl w:val="0"/>
          <w:numId w:val="1020"/>
        </w:numPr>
      </w:pPr>
      <w:r>
        <w:t xml:space="preserve">Required integrations and telemetry sources are available and technically supportable</w:t>
      </w:r>
    </w:p>
    <w:p>
      <w:pPr>
        <w:pStyle w:val="Compact"/>
        <w:numPr>
          <w:ilvl w:val="0"/>
          <w:numId w:val="1020"/>
        </w:numPr>
      </w:pPr>
      <w:r>
        <w:t xml:space="preserve">[Client Name] will designate authorized contacts for operational and incident communications</w:t>
      </w:r>
    </w:p>
    <w:p>
      <w:pPr>
        <w:pStyle w:val="Compact"/>
        <w:numPr>
          <w:ilvl w:val="0"/>
          <w:numId w:val="1020"/>
        </w:numPr>
      </w:pPr>
      <w:r>
        <w:t xml:space="preserve">The final service scope, response targets, and coverage schedule will be defined in the statement of work or master services agreement</w:t>
      </w:r>
    </w:p>
    <w:bookmarkEnd w:id="32"/>
    <w:bookmarkStart w:id="33" w:name="exclusions"/>
    <w:p>
      <w:pPr>
        <w:pStyle w:val="Heading3"/>
      </w:pPr>
      <w:r>
        <w:t xml:space="preserve">Exclusions</w:t>
      </w:r>
    </w:p>
    <w:p>
      <w:pPr>
        <w:pStyle w:val="FirstParagraph"/>
      </w:pPr>
      <w:r>
        <w:t xml:space="preserve">Unless separately agreed in writing, this proposal does not include:</w:t>
      </w:r>
    </w:p>
    <w:p>
      <w:pPr>
        <w:pStyle w:val="Compact"/>
        <w:numPr>
          <w:ilvl w:val="0"/>
          <w:numId w:val="1021"/>
        </w:numPr>
      </w:pPr>
      <w:r>
        <w:t xml:space="preserve">Full incident remediation execution by [Provider Name]</w:t>
      </w:r>
    </w:p>
    <w:p>
      <w:pPr>
        <w:pStyle w:val="Compact"/>
        <w:numPr>
          <w:ilvl w:val="0"/>
          <w:numId w:val="1021"/>
        </w:numPr>
      </w:pPr>
      <w:r>
        <w:t xml:space="preserve">Deployment of new security platforms or enterprise-wide security transformation</w:t>
      </w:r>
    </w:p>
    <w:p>
      <w:pPr>
        <w:pStyle w:val="Compact"/>
        <w:numPr>
          <w:ilvl w:val="0"/>
          <w:numId w:val="1021"/>
        </w:numPr>
      </w:pPr>
      <w:r>
        <w:t xml:space="preserve">Formal digital forensics services</w:t>
      </w:r>
    </w:p>
    <w:p>
      <w:pPr>
        <w:pStyle w:val="Compact"/>
        <w:numPr>
          <w:ilvl w:val="0"/>
          <w:numId w:val="1021"/>
        </w:numPr>
      </w:pPr>
      <w:r>
        <w:t xml:space="preserve">Legal, regulatory, or breach notification advisory services</w:t>
      </w:r>
    </w:p>
    <w:p>
      <w:pPr>
        <w:pStyle w:val="Compact"/>
        <w:numPr>
          <w:ilvl w:val="0"/>
          <w:numId w:val="1021"/>
        </w:numPr>
      </w:pPr>
      <w:r>
        <w:t xml:space="preserve">24x7 on-site staffing</w:t>
      </w:r>
    </w:p>
    <w:p>
      <w:pPr>
        <w:pStyle w:val="Compact"/>
        <w:numPr>
          <w:ilvl w:val="0"/>
          <w:numId w:val="1021"/>
        </w:numPr>
      </w:pPr>
      <w:r>
        <w:t xml:space="preserve">Compliance certification or audit services</w:t>
      </w:r>
    </w:p>
    <w:bookmarkEnd w:id="33"/>
    <w:bookmarkStart w:id="34" w:name="dependencies"/>
    <w:p>
      <w:pPr>
        <w:pStyle w:val="Heading3"/>
      </w:pPr>
      <w:r>
        <w:t xml:space="preserve">Dependencies</w:t>
      </w:r>
    </w:p>
    <w:p>
      <w:pPr>
        <w:pStyle w:val="FirstParagraph"/>
      </w:pPr>
      <w:r>
        <w:t xml:space="preserve">Successful delivery depends on:</w:t>
      </w:r>
    </w:p>
    <w:p>
      <w:pPr>
        <w:pStyle w:val="Compact"/>
        <w:numPr>
          <w:ilvl w:val="0"/>
          <w:numId w:val="1022"/>
        </w:numPr>
      </w:pPr>
      <w:r>
        <w:t xml:space="preserve">Availability and quality of client telemetry</w:t>
      </w:r>
    </w:p>
    <w:p>
      <w:pPr>
        <w:pStyle w:val="Compact"/>
        <w:numPr>
          <w:ilvl w:val="0"/>
          <w:numId w:val="1022"/>
        </w:numPr>
      </w:pPr>
      <w:r>
        <w:t xml:space="preserve">Timely participation by client technical stakeholders</w:t>
      </w:r>
    </w:p>
    <w:p>
      <w:pPr>
        <w:pStyle w:val="Compact"/>
        <w:numPr>
          <w:ilvl w:val="0"/>
          <w:numId w:val="1022"/>
        </w:numPr>
      </w:pPr>
      <w:r>
        <w:t xml:space="preserve">Clear escalation ownership and decision-making authority</w:t>
      </w:r>
    </w:p>
    <w:p>
      <w:pPr>
        <w:pStyle w:val="Compact"/>
        <w:numPr>
          <w:ilvl w:val="0"/>
          <w:numId w:val="1022"/>
        </w:numPr>
      </w:pPr>
      <w:r>
        <w:t xml:space="preserve">Stable access to in-scope monitoring platforms and supporting infrastructure</w:t>
      </w:r>
    </w:p>
    <w:bookmarkEnd w:id="34"/>
    <w:bookmarkEnd w:id="35"/>
    <w:bookmarkStart w:id="36" w:name="commercial-note"/>
    <w:p>
      <w:pPr>
        <w:pStyle w:val="Heading2"/>
      </w:pPr>
      <w:r>
        <w:t xml:space="preserve">Commercial Note</w:t>
      </w:r>
    </w:p>
    <w:p>
      <w:pPr>
        <w:pStyle w:val="FirstParagraph"/>
      </w:pPr>
      <w:r>
        <w:t xml:space="preserve">This proposal is intended to define the scope and operating approach for the managed SOC service. Final commercials, service levels, and contractual terms should be confirmed in the applicable commercial schedule, statement of work, or master services agreement.</w:t>
      </w:r>
    </w:p>
    <w:bookmarkEnd w:id="36"/>
    <w:bookmarkStart w:id="37" w:name="next-steps"/>
    <w:p>
      <w:pPr>
        <w:pStyle w:val="Heading2"/>
      </w:pPr>
      <w:r>
        <w:t xml:space="preserve">Next Steps</w:t>
      </w:r>
    </w:p>
    <w:p>
      <w:pPr>
        <w:pStyle w:val="FirstParagraph"/>
      </w:pPr>
      <w:r>
        <w:t xml:space="preserve">To progress this proposal, the following next steps are recommended:</w:t>
      </w:r>
    </w:p>
    <w:p>
      <w:pPr>
        <w:pStyle w:val="Compact"/>
        <w:numPr>
          <w:ilvl w:val="0"/>
          <w:numId w:val="1023"/>
        </w:numPr>
      </w:pPr>
      <w:r>
        <w:t xml:space="preserve">Review and confirm the proposed service scope</w:t>
      </w:r>
    </w:p>
    <w:p>
      <w:pPr>
        <w:pStyle w:val="Compact"/>
        <w:numPr>
          <w:ilvl w:val="0"/>
          <w:numId w:val="1023"/>
        </w:numPr>
      </w:pPr>
      <w:r>
        <w:t xml:space="preserve">Validate in-scope systems, log sources, and operational priorities</w:t>
      </w:r>
    </w:p>
    <w:p>
      <w:pPr>
        <w:pStyle w:val="Compact"/>
        <w:numPr>
          <w:ilvl w:val="0"/>
          <w:numId w:val="1023"/>
        </w:numPr>
      </w:pPr>
      <w:r>
        <w:t xml:space="preserve">Confirm service coverage expectations, escalation contacts, and reporting needs</w:t>
      </w:r>
    </w:p>
    <w:p>
      <w:pPr>
        <w:pStyle w:val="Compact"/>
        <w:numPr>
          <w:ilvl w:val="0"/>
          <w:numId w:val="1023"/>
        </w:numPr>
      </w:pPr>
      <w:r>
        <w:t xml:space="preserve">Finalize the commercial schedule and contractual documentation</w:t>
      </w:r>
    </w:p>
    <w:p>
      <w:pPr>
        <w:pStyle w:val="Compact"/>
        <w:numPr>
          <w:ilvl w:val="0"/>
          <w:numId w:val="1023"/>
        </w:numPr>
      </w:pPr>
      <w:r>
        <w:t xml:space="preserve">Initiate onboarding and technical discovery</w:t>
      </w:r>
    </w:p>
    <w:bookmarkEnd w:id="37"/>
    <w:bookmarkStart w:id="38" w:name="acceptance"/>
    <w:p>
      <w:pPr>
        <w:pStyle w:val="Heading2"/>
      </w:pPr>
      <w:r>
        <w:t xml:space="preserve">Acceptance</w:t>
      </w:r>
    </w:p>
    <w:p>
      <w:pPr>
        <w:pStyle w:val="FirstParagraph"/>
      </w:pPr>
      <w:r>
        <w:t xml:space="preserve">If this proposal aligns with [Client Name]’s requirements, [Provider Name] will prepare the final engagement documents for approval and service initiation.</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2026-05-19T06:25:07Z</dcterms:created>
  <dcterms:modified xsi:type="dcterms:W3CDTF">2026-05-19T06:25:07Z</dcterms:modified>
</cp:coreProperties>
</file>

<file path=docProps/custom.xml><?xml version="1.0" encoding="utf-8"?>
<Properties xmlns="http://schemas.openxmlformats.org/officeDocument/2006/custom-properties" xmlns:vt="http://schemas.openxmlformats.org/officeDocument/2006/docPropsVTypes"/>
</file>