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pPr>
      <w:bookmarkStart w:colFirst="0" w:colLast="0" w:name="_2irspfpw0zp" w:id="0"/>
      <w:bookmarkEnd w:id="0"/>
      <w:r w:rsidDel="00000000" w:rsidR="00000000" w:rsidRPr="00000000">
        <w:rPr>
          <w:rtl w:val="0"/>
        </w:rPr>
        <w:t xml:space="preserve">GDB Security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before="200" w:lineRule="auto"/>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The GDB system prioritizes robust security measures to safeguard against unauthorized access, data breaches, and malicious attacks, ensuring comprehensive protection throughout all data levels. </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620" w:line="288" w:lineRule="auto"/>
        <w:rPr>
          <w:rFonts w:ascii="Roboto Light" w:cs="Roboto Light" w:eastAsia="Roboto Light" w:hAnsi="Roboto Light"/>
          <w:highlight w:val="white"/>
        </w:rPr>
      </w:pPr>
      <w:bookmarkStart w:colFirst="0" w:colLast="0" w:name="_t4ewv5gl1nk3" w:id="1"/>
      <w:bookmarkEnd w:id="1"/>
      <w:r w:rsidDel="00000000" w:rsidR="00000000" w:rsidRPr="00000000">
        <w:rPr>
          <w:rFonts w:ascii="Roboto" w:cs="Roboto" w:eastAsia="Roboto" w:hAnsi="Roboto"/>
          <w:b w:val="0"/>
          <w:bCs w:val="0"/>
          <w:sz w:val="32"/>
          <w:szCs w:val="32"/>
          <w:highlight w:val="white"/>
          <w:rtl w:val="0"/>
        </w:rPr>
        <w:t xml:space="preserve">Keycloak</w:t>
      </w:r>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rFonts w:ascii="Roboto" w:cs="Roboto" w:eastAsia="Roboto" w:hAnsi="Roboto"/>
          <w:sz w:val="24"/>
          <w:szCs w:val="24"/>
          <w:rtl w:val="0"/>
        </w:rPr>
        <w:t xml:space="preserve">Authentication</w:t>
      </w:r>
      <w:r w:rsidDel="00000000" w:rsidR="00000000" w:rsidRPr="00000000">
        <w:rPr>
          <w:rtl w:val="0"/>
        </w:rPr>
      </w:r>
    </w:p>
    <w:p w:rsidR="00000000" w:rsidDel="00000000" w:rsidP="00000000" w:rsidRDefault="00000000" w:rsidRPr="00000000" w14:paraId="00000006">
      <w:pPr>
        <w:spacing w:before="200" w:lineRule="auto"/>
        <w:rPr>
          <w:rFonts w:ascii="Roboto" w:cs="Roboto" w:eastAsia="Roboto" w:hAnsi="Roboto"/>
        </w:rPr>
      </w:pPr>
      <w:r w:rsidDel="00000000" w:rsidR="00000000" w:rsidRPr="00000000">
        <w:rPr>
          <w:rFonts w:ascii="Roboto Light" w:cs="Roboto Light" w:eastAsia="Roboto Light" w:hAnsi="Roboto Light"/>
          <w:highlight w:val="white"/>
          <w:rtl w:val="0"/>
        </w:rPr>
        <w:t xml:space="preserve">Authentication is the process of identifying an individual process or entity that is attempting to log in to a secure domain. Requests for protected resources by unauthenticated users always result in an authentication challenge.</w:t>
      </w:r>
      <w:r w:rsidDel="00000000" w:rsidR="00000000" w:rsidRPr="00000000">
        <w:rPr>
          <w:rtl w:val="0"/>
        </w:rPr>
      </w:r>
    </w:p>
    <w:p w:rsidR="00000000" w:rsidDel="00000000" w:rsidP="00000000" w:rsidRDefault="00000000" w:rsidRPr="00000000" w14:paraId="00000007">
      <w:pPr>
        <w:pStyle w:val="Heading3"/>
        <w:spacing w:after="80" w:before="200" w:lineRule="auto"/>
        <w:rPr>
          <w:rFonts w:ascii="Roboto" w:cs="Roboto" w:eastAsia="Roboto" w:hAnsi="Roboto"/>
          <w:b w:val="0"/>
          <w:bCs w:val="0"/>
          <w:color w:val="434343"/>
          <w:sz w:val="28"/>
          <w:szCs w:val="28"/>
        </w:rPr>
      </w:pPr>
      <w:bookmarkStart w:colFirst="0" w:colLast="0" w:name="_5nmc6d5wsnk1" w:id="2"/>
      <w:bookmarkEnd w:id="2"/>
      <w:r w:rsidDel="00000000" w:rsidR="00000000" w:rsidRPr="00000000">
        <w:rPr>
          <w:rFonts w:ascii="Roboto" w:cs="Roboto" w:eastAsia="Roboto" w:hAnsi="Roboto"/>
          <w:b w:val="0"/>
          <w:bCs w:val="0"/>
          <w:color w:val="000000"/>
          <w:rtl w:val="0"/>
        </w:rPr>
        <w:t xml:space="preserve">Authorization</w:t>
      </w:r>
      <w:r w:rsidDel="00000000" w:rsidR="00000000" w:rsidRPr="00000000">
        <w:rPr>
          <w:rtl w:val="0"/>
        </w:rPr>
      </w:r>
    </w:p>
    <w:p w:rsidR="00000000" w:rsidDel="00000000" w:rsidP="00000000" w:rsidRDefault="00000000" w:rsidRPr="00000000" w14:paraId="00000008">
      <w:pPr>
        <w:rPr>
          <w:rFonts w:ascii="Roboto" w:cs="Roboto" w:eastAsia="Roboto" w:hAnsi="Roboto"/>
        </w:rPr>
      </w:pPr>
      <w:r w:rsidDel="00000000" w:rsidR="00000000" w:rsidRPr="00000000">
        <w:rPr>
          <w:rFonts w:ascii="Roboto Light" w:cs="Roboto Light" w:eastAsia="Roboto Light" w:hAnsi="Roboto Light"/>
          <w:highlight w:val="white"/>
          <w:rtl w:val="0"/>
        </w:rPr>
        <w:t xml:space="preserve">Authorization is the security process that determines a user or service's level of access to various resources. Authorization is used to give users or services permission to access some data or perform a particular action. </w:t>
      </w: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GDB uses keycloak, an open source software product, to allow single sign-on with Identity and Access Management aimed at modern applications and services.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GDB uses </w:t>
      </w:r>
      <w:r w:rsidDel="00000000" w:rsidR="00000000" w:rsidRPr="00000000">
        <w:rPr>
          <w:rFonts w:ascii="Roboto" w:cs="Roboto" w:eastAsia="Roboto" w:hAnsi="Roboto"/>
          <w:b w:val="1"/>
          <w:bCs w:val="1"/>
          <w:highlight w:val="white"/>
          <w:rtl w:val="0"/>
        </w:rPr>
        <w:t xml:space="preserve">OAuth 2.0</w:t>
      </w:r>
      <w:r w:rsidDel="00000000" w:rsidR="00000000" w:rsidRPr="00000000">
        <w:rPr>
          <w:rFonts w:ascii="Roboto Light" w:cs="Roboto Light" w:eastAsia="Roboto Light" w:hAnsi="Roboto Light"/>
          <w:highlight w:val="white"/>
          <w:rtl w:val="0"/>
        </w:rPr>
        <w:t xml:space="preserve"> and </w:t>
      </w:r>
      <w:r w:rsidDel="00000000" w:rsidR="00000000" w:rsidRPr="00000000">
        <w:rPr>
          <w:rFonts w:ascii="Roboto" w:cs="Roboto" w:eastAsia="Roboto" w:hAnsi="Roboto"/>
          <w:b w:val="1"/>
          <w:bCs w:val="1"/>
          <w:highlight w:val="white"/>
          <w:rtl w:val="0"/>
        </w:rPr>
        <w:t xml:space="preserve">Openid Connect</w:t>
      </w:r>
      <w:r w:rsidDel="00000000" w:rsidR="00000000" w:rsidRPr="00000000">
        <w:rPr>
          <w:rFonts w:ascii="Roboto Light" w:cs="Roboto Light" w:eastAsia="Roboto Light" w:hAnsi="Roboto Light"/>
          <w:highlight w:val="white"/>
          <w:rtl w:val="0"/>
        </w:rPr>
        <w:t xml:space="preserve"> </w:t>
      </w:r>
      <w:r w:rsidDel="00000000" w:rsidR="00000000" w:rsidRPr="00000000">
        <w:rPr>
          <w:rFonts w:ascii="Roboto Light" w:cs="Roboto Light" w:eastAsia="Roboto Light" w:hAnsi="Roboto Light"/>
          <w:highlight w:val="white"/>
          <w:rtl w:val="0"/>
        </w:rPr>
        <w:t xml:space="preserve">through Keycloak, to be able to reuse the identity of a user, to connect him/her with different components of the ecosystem, which can be applications that are not part of the eRegistrations.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520" w:line="360" w:lineRule="auto"/>
        <w:rPr>
          <w:rFonts w:ascii="Roboto" w:cs="Roboto" w:eastAsia="Roboto" w:hAnsi="Roboto"/>
          <w:b w:val="0"/>
          <w:bCs w:val="0"/>
          <w:color w:val="000000"/>
        </w:rPr>
      </w:pPr>
      <w:bookmarkStart w:colFirst="0" w:colLast="0" w:name="_ypjd3u2xpow2" w:id="3"/>
      <w:bookmarkEnd w:id="3"/>
      <w:r w:rsidDel="00000000" w:rsidR="00000000" w:rsidRPr="00000000">
        <w:rPr>
          <w:rFonts w:ascii="Roboto" w:cs="Roboto" w:eastAsia="Roboto" w:hAnsi="Roboto"/>
          <w:b w:val="0"/>
          <w:bCs w:val="0"/>
          <w:color w:val="000000"/>
          <w:rtl w:val="0"/>
        </w:rPr>
        <w:t xml:space="preserve">Standards implemented in Keycloak</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rFonts w:ascii="Roboto" w:cs="Roboto" w:eastAsia="Roboto" w:hAnsi="Roboto"/>
          <w:color w:val="172b4d"/>
          <w:sz w:val="24"/>
          <w:szCs w:val="24"/>
        </w:rPr>
      </w:pPr>
      <w:r w:rsidDel="00000000" w:rsidR="00000000" w:rsidRPr="00000000">
        <w:rPr>
          <w:rFonts w:ascii="Roboto" w:cs="Roboto" w:eastAsia="Roboto" w:hAnsi="Roboto"/>
          <w:b w:val="1"/>
          <w:bCs w:val="1"/>
          <w:highlight w:val="white"/>
          <w:rtl w:val="0"/>
        </w:rPr>
        <w:t xml:space="preserve">OAuth 2</w:t>
      </w:r>
      <w:r w:rsidDel="00000000" w:rsidR="00000000" w:rsidRPr="00000000">
        <w:rPr>
          <w:rFonts w:ascii="Roboto Light" w:cs="Roboto Light" w:eastAsia="Roboto Light" w:hAnsi="Roboto Light"/>
          <w:highlight w:val="white"/>
          <w:rtl w:val="0"/>
        </w:rPr>
        <w:t xml:space="preserve"> - is the authorization protocol which has a standard way of authorizing persons access to resources.</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rFonts w:ascii="Roboto" w:cs="Roboto" w:eastAsia="Roboto" w:hAnsi="Roboto"/>
          <w:color w:val="172b4d"/>
          <w:sz w:val="24"/>
          <w:szCs w:val="24"/>
        </w:rPr>
      </w:pPr>
      <w:r w:rsidDel="00000000" w:rsidR="00000000" w:rsidRPr="00000000">
        <w:rPr>
          <w:rFonts w:ascii="Roboto" w:cs="Roboto" w:eastAsia="Roboto" w:hAnsi="Roboto"/>
          <w:b w:val="1"/>
          <w:bCs w:val="1"/>
          <w:highlight w:val="white"/>
          <w:rtl w:val="0"/>
        </w:rPr>
        <w:t xml:space="preserve">OpenID Connect</w:t>
      </w:r>
      <w:r w:rsidDel="00000000" w:rsidR="00000000" w:rsidRPr="00000000">
        <w:rPr>
          <w:rFonts w:ascii="Roboto Light" w:cs="Roboto Light" w:eastAsia="Roboto Light" w:hAnsi="Roboto Light"/>
          <w:highlight w:val="white"/>
          <w:rtl w:val="0"/>
        </w:rPr>
        <w:t xml:space="preserve"> - built on top of OAuth 2 does the authentication part and the identity part. It defines the user data model and uses a specific way of authenticating the user, still on top of OAuth 2.0, which helps in opening the way to allow authentication with several means like user password, physical token, authenticator app.</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411.35999999999996" w:lineRule="auto"/>
        <w:ind w:left="0" w:right="0" w:firstLine="0"/>
        <w:jc w:val="left"/>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There are several ways of authenticating a person, one step, multiple steps process and Keycloak handles this very well.</w:t>
      </w:r>
    </w:p>
    <w:p w:rsidR="00000000" w:rsidDel="00000000" w:rsidP="00000000" w:rsidRDefault="00000000" w:rsidRPr="00000000" w14:paraId="0000001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411.35999999999996" w:lineRule="auto"/>
        <w:ind w:left="0" w:right="0" w:firstLine="0"/>
        <w:jc w:val="left"/>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GDB uses Keycloak for authentication</w:t>
      </w:r>
      <w:r w:rsidDel="00000000" w:rsidR="00000000" w:rsidRPr="00000000">
        <w:rPr>
          <w:rtl w:val="0"/>
        </w:rPr>
        <w:t xml:space="preserve"> </w:t>
      </w:r>
      <w:r w:rsidDel="00000000" w:rsidR="00000000" w:rsidRPr="00000000">
        <w:rPr>
          <w:rFonts w:ascii="Roboto Light" w:cs="Roboto Light" w:eastAsia="Roboto Light" w:hAnsi="Roboto Light"/>
          <w:highlight w:val="white"/>
          <w:rtl w:val="0"/>
        </w:rPr>
        <w:t xml:space="preserve">because it is a specialized open source  software which does the job very well, but it can accept any number of Open ID Connect Servers.</w:t>
      </w:r>
    </w:p>
    <w:p w:rsidR="00000000" w:rsidDel="00000000" w:rsidP="00000000" w:rsidRDefault="00000000" w:rsidRPr="00000000" w14:paraId="0000001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411.35999999999996" w:lineRule="auto"/>
        <w:ind w:left="0" w:right="0" w:firstLine="0"/>
        <w:jc w:val="left"/>
        <w:rPr>
          <w:rFonts w:ascii="Roboto Light" w:cs="Roboto Light" w:eastAsia="Roboto Light" w:hAnsi="Roboto Light"/>
          <w:shd w:fill="fce5cd" w:val="clear"/>
        </w:rPr>
      </w:pPr>
      <w:r w:rsidDel="00000000" w:rsidR="00000000" w:rsidRPr="00000000">
        <w:rPr>
          <w:rFonts w:ascii="Roboto Light" w:cs="Roboto Light" w:eastAsia="Roboto Light" w:hAnsi="Roboto Light"/>
          <w:shd w:fill="fce5cd" w:val="clear"/>
          <w:rtl w:val="0"/>
        </w:rPr>
        <w:t xml:space="preserve">Insert here a big chapter about fine-grained user rights - we can define rights at the level of a field in a database row.</w:t>
      </w:r>
    </w:p>
    <w:p w:rsidR="00000000" w:rsidDel="00000000" w:rsidP="00000000" w:rsidRDefault="00000000" w:rsidRPr="00000000" w14:paraId="0000001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411.35999999999996" w:lineRule="auto"/>
        <w:ind w:left="0" w:right="0" w:firstLine="0"/>
        <w:jc w:val="left"/>
        <w:rPr>
          <w:rFonts w:ascii="Roboto" w:cs="Roboto" w:eastAsia="Roboto" w:hAnsi="Roboto"/>
          <w:color w:val="172b4d"/>
          <w:sz w:val="24"/>
          <w:szCs w:val="24"/>
        </w:rPr>
      </w:pPr>
      <w:r w:rsidDel="00000000" w:rsidR="00000000" w:rsidRPr="00000000">
        <w:rPr>
          <w:rFonts w:ascii="Roboto Light" w:cs="Roboto Light" w:eastAsia="Roboto Light" w:hAnsi="Roboto Light"/>
          <w:highlight w:val="white"/>
          <w:rtl w:val="0"/>
        </w:rPr>
        <w:t xml:space="preserve"> </w:t>
      </w:r>
      <w:r w:rsidDel="00000000" w:rsidR="00000000" w:rsidRPr="00000000">
        <w:rPr>
          <w:rtl w:val="0"/>
        </w:rPr>
      </w:r>
    </w:p>
    <w:p w:rsidR="00000000" w:rsidDel="00000000" w:rsidP="00000000" w:rsidRDefault="00000000" w:rsidRPr="00000000" w14:paraId="00000013">
      <w:pPr>
        <w:rPr>
          <w:rFonts w:ascii="Roboto" w:cs="Roboto" w:eastAsia="Roboto" w:hAnsi="Roboto"/>
        </w:rPr>
      </w:pPr>
      <w:commentRangeStart w:id="0"/>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520" w:line="360" w:lineRule="auto"/>
        <w:rPr>
          <w:rFonts w:ascii="Roboto" w:cs="Roboto" w:eastAsia="Roboto" w:hAnsi="Roboto"/>
          <w:color w:val="172b4d"/>
          <w:sz w:val="30"/>
          <w:szCs w:val="30"/>
        </w:rPr>
      </w:pPr>
      <w:bookmarkStart w:colFirst="0" w:colLast="0" w:name="_tiyq98q5c5hj" w:id="4"/>
      <w:bookmarkEnd w:id="4"/>
      <w:commentRangeEnd w:id="0"/>
      <w:r w:rsidDel="00000000" w:rsidR="00000000" w:rsidRPr="00000000">
        <w:commentReference w:id="0"/>
      </w:r>
      <w:r w:rsidDel="00000000" w:rsidR="00000000" w:rsidRPr="00000000">
        <w:rPr>
          <w:rFonts w:ascii="Roboto" w:cs="Roboto" w:eastAsia="Roboto" w:hAnsi="Roboto"/>
          <w:color w:val="172b4d"/>
          <w:sz w:val="30"/>
          <w:szCs w:val="30"/>
          <w:rtl w:val="0"/>
        </w:rPr>
        <w:t xml:space="preserve">Audit logs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All changes with data in any GDB database are stored in the audit log. Each field’s new and old value gets logged in the database where it can be searched for. The log also contains the timestamp of the event and the user's id who was responsible for the change.</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We have audit logs at 3 different levels: Database structure changes, history of changes of an entry in a database and full history of changes in a database3</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Roboto" w:cs="Roboto" w:eastAsia="Roboto" w:hAnsi="Roboto"/>
        </w:rPr>
      </w:pPr>
      <w:bookmarkStart w:colFirst="0" w:colLast="0" w:name="_y1j5byn2i5jr" w:id="5"/>
      <w:bookmarkEnd w:id="5"/>
      <w:r w:rsidDel="00000000" w:rsidR="00000000" w:rsidRPr="00000000">
        <w:rPr>
          <w:rFonts w:ascii="Roboto" w:cs="Roboto" w:eastAsia="Roboto" w:hAnsi="Roboto"/>
          <w:b w:val="0"/>
          <w:bCs w:val="0"/>
          <w:sz w:val="32"/>
          <w:szCs w:val="32"/>
          <w:highlight w:val="white"/>
          <w:rtl w:val="0"/>
        </w:rPr>
        <w:t xml:space="preserve">ClamAV</w:t>
      </w:r>
      <w:r w:rsidDel="00000000" w:rsidR="00000000" w:rsidRPr="00000000">
        <w:rPr>
          <w:rtl w:val="0"/>
        </w:rPr>
      </w:r>
    </w:p>
    <w:p w:rsidR="00000000" w:rsidDel="00000000" w:rsidP="00000000" w:rsidRDefault="00000000" w:rsidRPr="00000000" w14:paraId="0000001A">
      <w:pPr>
        <w:spacing w:before="200" w:line="300" w:lineRule="auto"/>
        <w:rPr>
          <w:rFonts w:ascii="Roboto" w:cs="Roboto" w:eastAsia="Roboto" w:hAnsi="Roboto"/>
        </w:rPr>
      </w:pPr>
      <w:r w:rsidDel="00000000" w:rsidR="00000000" w:rsidRPr="00000000">
        <w:rPr>
          <w:rFonts w:ascii="Roboto Light" w:cs="Roboto Light" w:eastAsia="Roboto Light" w:hAnsi="Roboto Light"/>
          <w:highlight w:val="white"/>
          <w:rtl w:val="0"/>
        </w:rPr>
        <w:t xml:space="preserve">When it comes to ensuring the security of the file uploads in GDB, integrating ClamAV as an antivirus solution offers robust protection against multiple threats with multiple benefits as follow: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00" w:line="300" w:lineRule="auto"/>
        <w:ind w:left="720" w:right="0" w:hanging="360"/>
        <w:jc w:val="left"/>
        <w:rPr>
          <w:rFonts w:ascii="Roboto Light" w:cs="Roboto Light" w:eastAsia="Roboto Light" w:hAnsi="Roboto Light"/>
          <w:highlight w:val="white"/>
          <w:u w:val="none"/>
        </w:rPr>
      </w:pPr>
      <w:r w:rsidDel="00000000" w:rsidR="00000000" w:rsidRPr="00000000">
        <w:rPr>
          <w:rFonts w:ascii="Roboto Light" w:cs="Roboto Light" w:eastAsia="Roboto Light" w:hAnsi="Roboto Light"/>
          <w:highlight w:val="white"/>
          <w:rtl w:val="0"/>
        </w:rPr>
        <w:t xml:space="preserve">malware detection capabilities, safeguarding the GDB application from infected files during the upload process.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right="0" w:hanging="360"/>
        <w:jc w:val="left"/>
        <w:rPr>
          <w:rFonts w:ascii="Roboto Light" w:cs="Roboto Light" w:eastAsia="Roboto Light" w:hAnsi="Roboto Light"/>
          <w:highlight w:val="white"/>
          <w:u w:val="none"/>
        </w:rPr>
      </w:pPr>
      <w:r w:rsidDel="00000000" w:rsidR="00000000" w:rsidRPr="00000000">
        <w:rPr>
          <w:rFonts w:ascii="Roboto Light" w:cs="Roboto Light" w:eastAsia="Roboto Light" w:hAnsi="Roboto Light"/>
          <w:highlight w:val="white"/>
          <w:rtl w:val="0"/>
        </w:rPr>
        <w:t xml:space="preserve">Regular updates of virus definitions by ClamAV ensure continual effectiveness against emerging malware threats, providing up-to-date security for the GDB application and its users.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right="0" w:hanging="360"/>
        <w:jc w:val="left"/>
        <w:rPr>
          <w:rFonts w:ascii="Roboto Light" w:cs="Roboto Light" w:eastAsia="Roboto Light" w:hAnsi="Roboto Light"/>
          <w:highlight w:val="white"/>
          <w:u w:val="none"/>
        </w:rPr>
      </w:pPr>
      <w:r w:rsidDel="00000000" w:rsidR="00000000" w:rsidRPr="00000000">
        <w:rPr>
          <w:rFonts w:ascii="Roboto Light" w:cs="Roboto Light" w:eastAsia="Roboto Light" w:hAnsi="Roboto Light"/>
          <w:highlight w:val="white"/>
          <w:rtl w:val="0"/>
        </w:rPr>
        <w:t xml:space="preserve">As an open-source solution, ClamAV benefits from community scrutiny and contributions, ensuring a high level of trust, vulnerability identification, and ongoing improvements for maintaining the security integrity of the GDB application.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right="0" w:hanging="360"/>
        <w:jc w:val="left"/>
        <w:rPr>
          <w:rFonts w:ascii="Roboto Light" w:cs="Roboto Light" w:eastAsia="Roboto Light" w:hAnsi="Roboto Light"/>
          <w:highlight w:val="white"/>
          <w:u w:val="none"/>
        </w:rPr>
      </w:pPr>
      <w:r w:rsidDel="00000000" w:rsidR="00000000" w:rsidRPr="00000000">
        <w:rPr>
          <w:rFonts w:ascii="Roboto Light" w:cs="Roboto Light" w:eastAsia="Roboto Light" w:hAnsi="Roboto Light"/>
          <w:highlight w:val="white"/>
          <w:rtl w:val="0"/>
        </w:rPr>
        <w:t xml:space="preserve">allows customization options tailored to the specific security requirements of the GDB application, empowering administrators to configure desired actions upon malware detection, such as quarantining files or applying additional security measures.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300" w:lineRule="auto"/>
        <w:ind w:left="720" w:right="0" w:hanging="360"/>
        <w:jc w:val="left"/>
        <w:rPr>
          <w:rFonts w:ascii="Roboto Light" w:cs="Roboto Light" w:eastAsia="Roboto Light" w:hAnsi="Roboto Light"/>
          <w:highlight w:val="white"/>
          <w:u w:val="none"/>
        </w:rPr>
      </w:pPr>
      <w:r w:rsidDel="00000000" w:rsidR="00000000" w:rsidRPr="00000000">
        <w:rPr>
          <w:rFonts w:ascii="Roboto Light" w:cs="Roboto Light" w:eastAsia="Roboto Light" w:hAnsi="Roboto Light"/>
          <w:highlight w:val="white"/>
          <w:rtl w:val="0"/>
        </w:rPr>
        <w:t xml:space="preserve">seamlessly integrates with the existing security measures of the GDB application, enabling a multi-layered security approach that combines file scanning capabilities with other security practices like secure </w:t>
      </w:r>
      <w:r w:rsidDel="00000000" w:rsidR="00000000" w:rsidRPr="00000000">
        <w:rPr>
          <w:rFonts w:ascii="Roboto" w:cs="Roboto" w:eastAsia="Roboto" w:hAnsi="Roboto"/>
          <w:b w:val="1"/>
          <w:bCs w:val="1"/>
          <w:highlight w:val="white"/>
          <w:rtl w:val="0"/>
        </w:rPr>
        <w:t xml:space="preserve">coding techniques, input validation, and encryption.</w:t>
      </w:r>
      <w:r w:rsidDel="00000000" w:rsidR="00000000" w:rsidRPr="00000000">
        <w:rPr>
          <w:rtl w:val="0"/>
        </w:rPr>
      </w:r>
    </w:p>
    <w:p w:rsidR="00000000" w:rsidDel="00000000" w:rsidP="00000000" w:rsidRDefault="00000000" w:rsidRPr="00000000" w14:paraId="00000020">
      <w:pPr>
        <w:spacing w:before="200" w:lineRule="auto"/>
        <w:rPr>
          <w:rFonts w:ascii="Roboto" w:cs="Roboto" w:eastAsia="Roboto" w:hAnsi="Roboto"/>
        </w:rPr>
      </w:pPr>
      <w:r w:rsidDel="00000000" w:rsidR="00000000" w:rsidRPr="00000000">
        <w:rPr>
          <w:rtl w:val="0"/>
        </w:rPr>
      </w:r>
    </w:p>
    <w:p w:rsidR="00000000" w:rsidDel="00000000" w:rsidP="00000000" w:rsidRDefault="00000000" w:rsidRPr="00000000" w14:paraId="00000021">
      <w:pPr>
        <w:spacing w:before="200" w:lineRule="auto"/>
        <w:rPr>
          <w:rFonts w:ascii="Roboto" w:cs="Roboto" w:eastAsia="Roboto" w:hAnsi="Roboto"/>
        </w:rPr>
      </w:pPr>
      <w:r w:rsidDel="00000000" w:rsidR="00000000" w:rsidRPr="00000000">
        <w:rPr>
          <w:rtl w:val="0"/>
        </w:rPr>
      </w:r>
    </w:p>
    <w:p w:rsidR="00000000" w:rsidDel="00000000" w:rsidP="00000000" w:rsidRDefault="00000000" w:rsidRPr="00000000" w14:paraId="00000022">
      <w:pPr>
        <w:spacing w:before="200" w:lineRule="auto"/>
        <w:rPr>
          <w:rFonts w:ascii="Roboto" w:cs="Roboto" w:eastAsia="Roboto" w:hAnsi="Roboto"/>
        </w:rPr>
      </w:pPr>
      <w:r w:rsidDel="00000000" w:rsidR="00000000" w:rsidRPr="00000000">
        <w:rPr>
          <w:rtl w:val="0"/>
        </w:rPr>
      </w:r>
    </w:p>
    <w:p w:rsidR="00000000" w:rsidDel="00000000" w:rsidP="00000000" w:rsidRDefault="00000000" w:rsidRPr="00000000" w14:paraId="0000002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rFonts w:ascii="Roboto" w:cs="Roboto" w:eastAsia="Roboto" w:hAnsi="Roboto"/>
          <w:b w:val="0"/>
          <w:bCs w:val="0"/>
          <w:sz w:val="32"/>
          <w:szCs w:val="32"/>
          <w:highlight w:val="white"/>
        </w:rPr>
      </w:pPr>
      <w:bookmarkStart w:colFirst="0" w:colLast="0" w:name="_1ccwhiu0c1ut" w:id="6"/>
      <w:bookmarkEnd w:id="6"/>
      <w:r w:rsidDel="00000000" w:rsidR="00000000" w:rsidRPr="00000000">
        <w:rPr>
          <w:rFonts w:ascii="Roboto" w:cs="Roboto" w:eastAsia="Roboto" w:hAnsi="Roboto"/>
          <w:b w:val="0"/>
          <w:bCs w:val="0"/>
          <w:sz w:val="32"/>
          <w:szCs w:val="32"/>
          <w:highlight w:val="white"/>
          <w:rtl w:val="0"/>
        </w:rPr>
        <w:t xml:space="preserve">Code level security</w:t>
      </w:r>
    </w:p>
    <w:p w:rsidR="00000000" w:rsidDel="00000000" w:rsidP="00000000" w:rsidRDefault="00000000" w:rsidRPr="00000000" w14:paraId="0000002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360" w:lineRule="auto"/>
        <w:ind w:left="0" w:right="0" w:firstLine="0"/>
        <w:jc w:val="left"/>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In Python, security is handled through the use of secure coding practices and common security libraries such as cryptography. In </w:t>
      </w:r>
      <w:r w:rsidDel="00000000" w:rsidR="00000000" w:rsidRPr="00000000">
        <w:rPr>
          <w:rFonts w:ascii="Roboto" w:cs="Roboto" w:eastAsia="Roboto" w:hAnsi="Roboto"/>
          <w:b w:val="1"/>
          <w:bCs w:val="1"/>
          <w:highlight w:val="white"/>
          <w:rtl w:val="0"/>
        </w:rPr>
        <w:t xml:space="preserve">Django</w:t>
      </w:r>
      <w:r w:rsidDel="00000000" w:rsidR="00000000" w:rsidRPr="00000000">
        <w:rPr>
          <w:rFonts w:ascii="Roboto Light" w:cs="Roboto Light" w:eastAsia="Roboto Light" w:hAnsi="Roboto Light"/>
          <w:highlight w:val="white"/>
          <w:rtl w:val="0"/>
        </w:rPr>
        <w:t xml:space="preserve">, security is built-in and includes features such as protection against SQL injection, cross-site scripting (XSS), and cross-site request forgery (CSRF) attacks.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360" w:lineRule="auto"/>
        <w:ind w:left="0" w:right="0" w:firstLine="0"/>
        <w:jc w:val="left"/>
        <w:rPr>
          <w:rFonts w:ascii="Roboto" w:cs="Roboto" w:eastAsia="Roboto" w:hAnsi="Roboto"/>
          <w:highlight w:val="white"/>
        </w:rPr>
      </w:pPr>
      <w:r w:rsidDel="00000000" w:rsidR="00000000" w:rsidRPr="00000000">
        <w:rPr>
          <w:rFonts w:ascii="Roboto Light" w:cs="Roboto Light" w:eastAsia="Roboto Light" w:hAnsi="Roboto Light"/>
          <w:highlight w:val="white"/>
          <w:rtl w:val="0"/>
        </w:rPr>
        <w:t xml:space="preserve">In Python, a strong emphasis is placed on implementing secure coding practices and leveraging trusted security libraries such as </w:t>
      </w:r>
      <w:r w:rsidDel="00000000" w:rsidR="00000000" w:rsidRPr="00000000">
        <w:rPr>
          <w:rFonts w:ascii="Roboto" w:cs="Roboto" w:eastAsia="Roboto" w:hAnsi="Roboto"/>
          <w:b w:val="1"/>
          <w:bCs w:val="1"/>
          <w:highlight w:val="white"/>
          <w:rtl w:val="0"/>
        </w:rPr>
        <w:t xml:space="preserve">SciPy</w:t>
      </w:r>
      <w:r w:rsidDel="00000000" w:rsidR="00000000" w:rsidRPr="00000000">
        <w:rPr>
          <w:rFonts w:ascii="Roboto Light" w:cs="Roboto Light" w:eastAsia="Roboto Light" w:hAnsi="Roboto Light"/>
          <w:highlight w:val="white"/>
          <w:rtl w:val="0"/>
        </w:rPr>
        <w:t xml:space="preserve"> and </w:t>
      </w:r>
      <w:r w:rsidDel="00000000" w:rsidR="00000000" w:rsidRPr="00000000">
        <w:rPr>
          <w:rFonts w:ascii="Roboto" w:cs="Roboto" w:eastAsia="Roboto" w:hAnsi="Roboto"/>
          <w:b w:val="1"/>
          <w:bCs w:val="1"/>
          <w:highlight w:val="white"/>
          <w:rtl w:val="0"/>
        </w:rPr>
        <w:t xml:space="preserve">cryptography</w:t>
      </w:r>
      <w:r w:rsidDel="00000000" w:rsidR="00000000" w:rsidRPr="00000000">
        <w:rPr>
          <w:rFonts w:ascii="Roboto Light" w:cs="Roboto Light" w:eastAsia="Roboto Light" w:hAnsi="Roboto Light"/>
          <w:highlight w:val="white"/>
          <w:rtl w:val="0"/>
        </w:rPr>
        <w:t xml:space="preserve">. When working with Django, a powerful Python web framework, security is an integral part of its design, providing essential features that address common vulnerabilities.</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180" w:line="360" w:lineRule="auto"/>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Django incorporates built-in safeguards to protect against prevalent attacks like </w:t>
      </w:r>
      <w:r w:rsidDel="00000000" w:rsidR="00000000" w:rsidRPr="00000000">
        <w:rPr>
          <w:rFonts w:ascii="Roboto" w:cs="Roboto" w:eastAsia="Roboto" w:hAnsi="Roboto"/>
          <w:b w:val="1"/>
          <w:bCs w:val="1"/>
          <w:highlight w:val="white"/>
          <w:rtl w:val="0"/>
        </w:rPr>
        <w:t xml:space="preserve">SQL injection,</w:t>
      </w:r>
      <w:r w:rsidDel="00000000" w:rsidR="00000000" w:rsidRPr="00000000">
        <w:rPr>
          <w:rFonts w:ascii="Roboto Light" w:cs="Roboto Light" w:eastAsia="Roboto Light" w:hAnsi="Roboto Light"/>
          <w:highlight w:val="white"/>
          <w:rtl w:val="0"/>
        </w:rPr>
        <w:t xml:space="preserve"> cross-site scripting (</w:t>
      </w:r>
      <w:r w:rsidDel="00000000" w:rsidR="00000000" w:rsidRPr="00000000">
        <w:rPr>
          <w:rFonts w:ascii="Roboto Light" w:cs="Roboto Light" w:eastAsia="Roboto Light" w:hAnsi="Roboto Light"/>
          <w:highlight w:val="white"/>
          <w:rtl w:val="0"/>
        </w:rPr>
        <w:t xml:space="preserve">XSS</w:t>
      </w:r>
      <w:r w:rsidDel="00000000" w:rsidR="00000000" w:rsidRPr="00000000">
        <w:rPr>
          <w:rFonts w:ascii="Roboto Light" w:cs="Roboto Light" w:eastAsia="Roboto Light" w:hAnsi="Roboto Light"/>
          <w:highlight w:val="white"/>
          <w:rtl w:val="0"/>
        </w:rPr>
        <w:t xml:space="preserve">), and cross-site request forgery (</w:t>
      </w:r>
      <w:r w:rsidDel="00000000" w:rsidR="00000000" w:rsidRPr="00000000">
        <w:rPr>
          <w:rFonts w:ascii="Roboto" w:cs="Roboto" w:eastAsia="Roboto" w:hAnsi="Roboto"/>
          <w:b w:val="1"/>
          <w:bCs w:val="1"/>
          <w:highlight w:val="white"/>
          <w:rtl w:val="0"/>
        </w:rPr>
        <w:t xml:space="preserve">CSRF</w:t>
      </w:r>
      <w:r w:rsidDel="00000000" w:rsidR="00000000" w:rsidRPr="00000000">
        <w:rPr>
          <w:rFonts w:ascii="Roboto Light" w:cs="Roboto Light" w:eastAsia="Roboto Light" w:hAnsi="Roboto Light"/>
          <w:highlight w:val="white"/>
          <w:rtl w:val="0"/>
        </w:rPr>
        <w:t xml:space="preserve">). These features are seamlessly integrated into the framework, bolstering the overall security of GDB.</w:t>
      </w:r>
      <w:r w:rsidDel="00000000" w:rsidR="00000000" w:rsidRPr="00000000">
        <w:rPr>
          <w:rFonts w:ascii="Roboto" w:cs="Roboto" w:eastAsia="Roboto" w:hAnsi="Roboto"/>
          <w:highlight w:val="white"/>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360" w:lineRule="auto"/>
        <w:ind w:left="0" w:right="0" w:firstLine="0"/>
        <w:jc w:val="left"/>
        <w:rPr>
          <w:rFonts w:ascii="Roboto" w:cs="Roboto" w:eastAsia="Roboto" w:hAnsi="Roboto"/>
          <w:highlight w:val="white"/>
        </w:rPr>
      </w:pPr>
      <w:r w:rsidDel="00000000" w:rsidR="00000000" w:rsidRPr="00000000">
        <w:rPr>
          <w:rFonts w:ascii="Roboto Light" w:cs="Roboto Light" w:eastAsia="Roboto Light" w:hAnsi="Roboto Light"/>
          <w:highlight w:val="white"/>
          <w:rtl w:val="0"/>
        </w:rPr>
        <w:t xml:space="preserve">To ensure the integrity of data, thorough validation processes are applied </w:t>
      </w:r>
      <w:r w:rsidDel="00000000" w:rsidR="00000000" w:rsidRPr="00000000">
        <w:rPr>
          <w:rFonts w:ascii="Roboto Light" w:cs="Roboto Light" w:eastAsia="Roboto Light" w:hAnsi="Roboto Light"/>
          <w:highlight w:val="white"/>
          <w:rtl w:val="0"/>
        </w:rPr>
        <w:t xml:space="preserve">to all input data,</w:t>
      </w:r>
      <w:r w:rsidDel="00000000" w:rsidR="00000000" w:rsidRPr="00000000">
        <w:rPr>
          <w:rFonts w:ascii="Roboto Light" w:cs="Roboto Light" w:eastAsia="Roboto Light" w:hAnsi="Roboto Light"/>
          <w:highlight w:val="white"/>
          <w:rtl w:val="0"/>
        </w:rPr>
        <w:t xml:space="preserve"> both on the client and server sides. By validating input, GDB verifies that only trusted and expected data is accepted, minimizing the risk of malicious input compromising functionality or data integrity. Additionally, if necessary, the input data undergoes proper sanitization to mitigate potential security risks.</w:t>
      </w:r>
      <w:r w:rsidDel="00000000" w:rsidR="00000000" w:rsidRPr="00000000">
        <w:rPr>
          <w:rtl w:val="0"/>
        </w:rPr>
      </w:r>
    </w:p>
    <w:p w:rsidR="00000000" w:rsidDel="00000000" w:rsidP="00000000" w:rsidRDefault="00000000" w:rsidRPr="00000000" w14:paraId="00000029">
      <w:pPr>
        <w:rPr>
          <w:rFonts w:ascii="Roboto" w:cs="Roboto" w:eastAsia="Roboto" w:hAnsi="Roboto"/>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xana Dina" w:id="0" w:date="2023-05-31T07:35:27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@danielghitoiu@gmail.com GDB logs every change in audit logs, this is very important. https://unctad.atlassian.net/wiki/spaces/GDB/pages/1853325383/Data+model#Logger-application-models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resources.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danielghitoiu@gmail.com_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385763" cy="32641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5763" cy="326414"/>
                  </a:xfrm>
                  <a:prstGeom prst="rect"/>
                  <a:ln/>
                </pic:spPr>
              </pic:pic>
            </a:graphicData>
          </a:graphic>
        </wp:anchor>
      </w:draw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8625"/>
      <w:tblGridChange w:id="0">
        <w:tblGrid>
          <w:gridCol w:w="735"/>
          <w:gridCol w:w="8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Roboto Medium" w:cs="Roboto Medium" w:eastAsia="Roboto Medium" w:hAnsi="Roboto Medium"/>
              <w:sz w:val="16"/>
              <w:szCs w:val="16"/>
            </w:rPr>
          </w:pPr>
          <w:r w:rsidDel="00000000" w:rsidR="00000000" w:rsidRPr="00000000">
            <w:rPr>
              <w:rFonts w:ascii="Roboto Medium" w:cs="Roboto Medium" w:eastAsia="Roboto Medium" w:hAnsi="Roboto Medium"/>
              <w:sz w:val="16"/>
              <w:szCs w:val="16"/>
              <w:rtl w:val="0"/>
            </w:rPr>
            <w:t xml:space="preserve">UN DIGITAL GOVERNMENT PROGRAMME</w:t>
          </w:r>
        </w:p>
      </w:tc>
    </w:tr>
  </w:tbl>
  <w:p w:rsidR="00000000" w:rsidDel="00000000" w:rsidP="00000000" w:rsidRDefault="00000000" w:rsidRPr="00000000" w14:paraId="000000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80" w:lineRule="auto"/>
      <w:rPr>
        <w:rFonts w:ascii="Roboto" w:cs="Roboto" w:eastAsia="Roboto" w:hAnsi="Roboto"/>
        <w:b w:val="0"/>
        <w:bCs w:val="0"/>
        <w:color w:val="0094da"/>
        <w:sz w:val="28"/>
        <w:szCs w:val="28"/>
        <w:highlight w:val="white"/>
      </w:rPr>
    </w:pPr>
    <w:bookmarkStart w:colFirst="0" w:colLast="0" w:name="_sb7l9hnltyzt" w:id="7"/>
    <w:bookmarkEnd w:id="7"/>
    <w:r w:rsidDel="00000000" w:rsidR="00000000" w:rsidRPr="00000000">
      <w:rPr>
        <w:rFonts w:ascii="Roboto" w:cs="Roboto" w:eastAsia="Roboto" w:hAnsi="Roboto"/>
        <w:b w:val="0"/>
        <w:bCs w:val="0"/>
        <w:color w:val="0094da"/>
        <w:sz w:val="28"/>
        <w:szCs w:val="28"/>
        <w:highlight w:val="white"/>
        <w:rtl w:val="0"/>
      </w:rPr>
      <w:t xml:space="preserve">GDB</w:t>
    </w:r>
  </w:p>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rtl w:val="0"/>
      </w:rPr>
      <w:t xml:space="preserve">Security</w:t>
    </w:r>
    <w:r w:rsidDel="00000000" w:rsidR="00000000" w:rsidRPr="00000000">
      <w:rPr>
        <w:rtl w:val="0"/>
      </w:rPr>
    </w:r>
  </w:p>
  <w:p w:rsidR="00000000" w:rsidDel="00000000" w:rsidP="00000000" w:rsidRDefault="00000000" w:rsidRPr="00000000" w14:paraId="0000002D">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80" w:lineRule="auto"/>
      <w:rPr/>
    </w:pPr>
    <w:bookmarkStart w:colFirst="0" w:colLast="0" w:name="_z5o0qxidygpn" w:id="8"/>
    <w:bookmarkEnd w:id="8"/>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Light-italic.ttf"/><Relationship Id="rId10" Type="http://schemas.openxmlformats.org/officeDocument/2006/relationships/font" Target="fonts/RobotoLight-bold.ttf"/><Relationship Id="rId12" Type="http://schemas.openxmlformats.org/officeDocument/2006/relationships/font" Target="fonts/RobotoLight-boldItalic.ttf"/><Relationship Id="rId9" Type="http://schemas.openxmlformats.org/officeDocument/2006/relationships/font" Target="fonts/RobotoLight-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