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rPr>
          <w:sz w:val="28"/>
          <w:szCs w:val="28"/>
        </w:rPr>
      </w:pPr>
      <w:bookmarkStart w:colFirst="0" w:colLast="0" w:name="_y89qxw3afb74" w:id="0"/>
      <w:bookmarkEnd w:id="0"/>
      <w:r w:rsidDel="00000000" w:rsidR="00000000" w:rsidRPr="00000000">
        <w:rPr>
          <w:rtl w:val="0"/>
        </w:rPr>
      </w:r>
    </w:p>
    <w:p w:rsidR="00000000" w:rsidDel="00000000" w:rsidP="00000000" w:rsidRDefault="00000000" w:rsidRPr="00000000" w14:paraId="00000002">
      <w:pPr>
        <w:pStyle w:val="Heading2"/>
        <w:spacing w:after="0" w:before="0" w:lineRule="auto"/>
        <w:rPr>
          <w:rFonts w:ascii="Roboto Light" w:cs="Roboto Light" w:eastAsia="Roboto Light" w:hAnsi="Roboto Light"/>
          <w:highlight w:val="white"/>
        </w:rPr>
      </w:pPr>
      <w:bookmarkStart w:colFirst="0" w:colLast="0" w:name="_6jzcon7fucx9" w:id="1"/>
      <w:bookmarkEnd w:id="1"/>
      <w:r w:rsidDel="00000000" w:rsidR="00000000" w:rsidRPr="00000000">
        <w:rPr>
          <w:rFonts w:ascii="Roboto" w:cs="Roboto" w:eastAsia="Roboto" w:hAnsi="Roboto"/>
          <w:highlight w:val="white"/>
          <w:rtl w:val="0"/>
        </w:rPr>
        <w:t xml:space="preserve">What </w:t>
      </w:r>
      <w:r w:rsidDel="00000000" w:rsidR="00000000" w:rsidRPr="00000000">
        <w:rPr>
          <w:rFonts w:ascii="Roboto" w:cs="Roboto" w:eastAsia="Roboto" w:hAnsi="Roboto"/>
          <w:highlight w:val="white"/>
          <w:rtl w:val="0"/>
        </w:rPr>
        <w:t xml:space="preserve">is </w:t>
      </w:r>
      <w:r w:rsidDel="00000000" w:rsidR="00000000" w:rsidRPr="00000000">
        <w:rPr>
          <w:rFonts w:ascii="Roboto" w:cs="Roboto" w:eastAsia="Roboto" w:hAnsi="Roboto"/>
          <w:highlight w:val="white"/>
          <w:rtl w:val="0"/>
        </w:rPr>
        <w:t xml:space="preserve">GDB?</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The Digital Registries System (known as “GDB”) is a </w:t>
      </w:r>
      <w:r w:rsidDel="00000000" w:rsidR="00000000" w:rsidRPr="00000000">
        <w:rPr>
          <w:rFonts w:ascii="Roboto Light" w:cs="Roboto Light" w:eastAsia="Roboto Light" w:hAnsi="Roboto Light"/>
          <w:highlight w:val="white"/>
          <w:rtl w:val="0"/>
        </w:rPr>
        <w:t xml:space="preserve">no-code platform</w:t>
      </w:r>
      <w:r w:rsidDel="00000000" w:rsidR="00000000" w:rsidRPr="00000000">
        <w:rPr>
          <w:rFonts w:ascii="Roboto Light" w:cs="Roboto Light" w:eastAsia="Roboto Light" w:hAnsi="Roboto Light"/>
          <w:highlight w:val="white"/>
          <w:rtl w:val="0"/>
        </w:rPr>
        <w:t xml:space="preserve"> allowing to create and administer professional databases easily, without programming.</w:t>
      </w:r>
    </w:p>
    <w:p w:rsidR="00000000" w:rsidDel="00000000" w:rsidP="00000000" w:rsidRDefault="00000000" w:rsidRPr="00000000" w14:paraId="0000000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Database schemas/structures are built through a simple, visual interface. The system provides  advanced data management, log and connectivity options. </w:t>
      </w:r>
    </w:p>
    <w:p w:rsidR="00000000" w:rsidDel="00000000" w:rsidP="00000000" w:rsidRDefault="00000000" w:rsidRPr="00000000" w14:paraId="0000000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Each register created has a simple User Interface to capture, store, edit, search and present data, and an API connector with automatically-generated Open API services for machine-to-machine communication. It also maintains and reports logs of all operations taking place on schemas and data.</w:t>
      </w:r>
    </w:p>
    <w:p w:rsidR="00000000" w:rsidDel="00000000" w:rsidP="00000000" w:rsidRDefault="00000000" w:rsidRPr="00000000" w14:paraId="0000000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pPr>
      <w:r w:rsidDel="00000000" w:rsidR="00000000" w:rsidRPr="00000000">
        <w:rPr>
          <w:rFonts w:ascii="Roboto Light" w:cs="Roboto Light" w:eastAsia="Roboto Light" w:hAnsi="Roboto Light"/>
          <w:highlight w:val="white"/>
          <w:rtl w:val="0"/>
        </w:rPr>
        <w:t xml:space="preserve">GDB is implemented to be highly integratable with eRegistrations systems</w:t>
      </w:r>
      <w:r w:rsidDel="00000000" w:rsidR="00000000" w:rsidRPr="00000000">
        <w:rPr>
          <w:rtl w:val="0"/>
        </w:rPr>
        <w:t xml:space="preserve">. </w:t>
      </w:r>
    </w:p>
    <w:p w:rsidR="00000000" w:rsidDel="00000000" w:rsidP="00000000" w:rsidRDefault="00000000" w:rsidRPr="00000000" w14:paraId="00000007">
      <w:pPr>
        <w:spacing w:before="200" w:lineRule="auto"/>
        <w:ind w:left="720" w:firstLine="0"/>
        <w:rPr/>
      </w:pPr>
      <w:r w:rsidDel="00000000" w:rsidR="00000000" w:rsidRPr="00000000">
        <w:rPr>
          <w:rtl w:val="0"/>
        </w:rPr>
      </w:r>
    </w:p>
    <w:p w:rsidR="00000000" w:rsidDel="00000000" w:rsidP="00000000" w:rsidRDefault="00000000" w:rsidRPr="00000000" w14:paraId="0000000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bookmarkStart w:colFirst="0" w:colLast="0" w:name="_3tbw1zt5u53g" w:id="2"/>
      <w:bookmarkEnd w:id="2"/>
      <w:r w:rsidDel="00000000" w:rsidR="00000000" w:rsidRPr="00000000">
        <w:rPr>
          <w:rtl w:val="0"/>
        </w:rPr>
      </w:r>
    </w:p>
    <w:p w:rsidR="00000000" w:rsidDel="00000000" w:rsidP="00000000" w:rsidRDefault="00000000" w:rsidRPr="00000000" w14:paraId="0000000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Light" w:cs="Roboto Light" w:eastAsia="Roboto Light" w:hAnsi="Roboto Light"/>
          <w:highlight w:val="white"/>
        </w:rPr>
      </w:pPr>
      <w:bookmarkStart w:colFirst="0" w:colLast="0" w:name="_43cotvbt0anx" w:id="3"/>
      <w:bookmarkEnd w:id="3"/>
      <w:r w:rsidDel="00000000" w:rsidR="00000000" w:rsidRPr="00000000">
        <w:rPr>
          <w:rFonts w:ascii="Roboto" w:cs="Roboto" w:eastAsia="Roboto" w:hAnsi="Roboto"/>
          <w:highlight w:val="white"/>
          <w:rtl w:val="0"/>
        </w:rPr>
        <w:t xml:space="preserve">Technical stack</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pPr>
      <w:r w:rsidDel="00000000" w:rsidR="00000000" w:rsidRPr="00000000">
        <w:rPr>
          <w:rFonts w:ascii="Roboto Light" w:cs="Roboto Light" w:eastAsia="Roboto Light" w:hAnsi="Roboto Light"/>
          <w:highlight w:val="white"/>
          <w:rtl w:val="0"/>
        </w:rPr>
        <w:t xml:space="preserve">The GDB is an inhouse application and consists of </w:t>
      </w:r>
      <w:r w:rsidDel="00000000" w:rsidR="00000000" w:rsidRPr="00000000">
        <w:rPr>
          <w:rFonts w:ascii="Roboto Light" w:cs="Roboto Light" w:eastAsia="Roboto Light" w:hAnsi="Roboto Light"/>
          <w:highlight w:val="white"/>
          <w:rtl w:val="0"/>
        </w:rPr>
        <w:t xml:space="preserve">3 main components that regular users and machine programs can use: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Roboto" w:cs="Roboto" w:eastAsia="Roboto" w:hAnsi="Roboto"/>
          <w:b w:val="1"/>
          <w:bCs w:val="1"/>
          <w:highlight w:val="white"/>
          <w:rtl w:val="0"/>
        </w:rPr>
        <w:t xml:space="preserve">Frontend</w:t>
      </w:r>
      <w:r w:rsidDel="00000000" w:rsidR="00000000" w:rsidRPr="00000000">
        <w:rPr>
          <w:rFonts w:ascii="Roboto Light" w:cs="Roboto Light" w:eastAsia="Roboto Light" w:hAnsi="Roboto Light"/>
          <w:highlight w:val="white"/>
          <w:rtl w:val="0"/>
        </w:rPr>
        <w:t xml:space="preserve"> is built with ReactJS and to be used by web browsers.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Roboto" w:cs="Roboto" w:eastAsia="Roboto" w:hAnsi="Roboto"/>
          <w:b w:val="1"/>
          <w:bCs w:val="1"/>
          <w:highlight w:val="white"/>
          <w:rtl w:val="0"/>
        </w:rPr>
        <w:t xml:space="preserve">Backend</w:t>
      </w:r>
      <w:r w:rsidDel="00000000" w:rsidR="00000000" w:rsidRPr="00000000">
        <w:rPr>
          <w:rFonts w:ascii="Roboto Light" w:cs="Roboto Light" w:eastAsia="Roboto Light" w:hAnsi="Roboto Light"/>
          <w:highlight w:val="white"/>
          <w:rtl w:val="0"/>
        </w:rPr>
        <w:t xml:space="preserve"> is built with the Django development framework (Python) that provides API for machine clients. The API uses Swagger documentation style to provide documentation for the whole API. Requests to API are secured by </w:t>
      </w:r>
      <w:hyperlink r:id="rId6">
        <w:r w:rsidDel="00000000" w:rsidR="00000000" w:rsidRPr="00000000">
          <w:rPr>
            <w:rFonts w:ascii="Roboto Light" w:cs="Roboto Light" w:eastAsia="Roboto Light" w:hAnsi="Roboto Light"/>
            <w:color w:val="1155cc"/>
            <w:highlight w:val="white"/>
            <w:u w:val="single"/>
            <w:rtl w:val="0"/>
          </w:rPr>
          <w:t xml:space="preserve">JWT token</w:t>
        </w:r>
      </w:hyperlink>
      <w:r w:rsidDel="00000000" w:rsidR="00000000" w:rsidRPr="00000000">
        <w:rPr>
          <w:rFonts w:ascii="Roboto Light" w:cs="Roboto Light" w:eastAsia="Roboto Light" w:hAnsi="Roboto Light"/>
          <w:highlight w:val="whit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Fonts w:ascii="Roboto Light" w:cs="Roboto Light" w:eastAsia="Roboto Light" w:hAnsi="Roboto Light"/>
          <w:highlight w:val="white"/>
          <w:rtl w:val="0"/>
        </w:rPr>
        <w:t xml:space="preserve">Backend uses </w:t>
      </w:r>
      <w:r w:rsidDel="00000000" w:rsidR="00000000" w:rsidRPr="00000000">
        <w:rPr>
          <w:rFonts w:ascii="Roboto" w:cs="Roboto" w:eastAsia="Roboto" w:hAnsi="Roboto"/>
          <w:b w:val="1"/>
          <w:bCs w:val="1"/>
          <w:highlight w:val="white"/>
          <w:rtl w:val="0"/>
        </w:rPr>
        <w:t xml:space="preserve">PostgreSQL</w:t>
      </w:r>
      <w:r w:rsidDel="00000000" w:rsidR="00000000" w:rsidRPr="00000000">
        <w:rPr>
          <w:rFonts w:ascii="Roboto Light" w:cs="Roboto Light" w:eastAsia="Roboto Light" w:hAnsi="Roboto Light"/>
          <w:highlight w:val="white"/>
          <w:rtl w:val="0"/>
        </w:rPr>
        <w:t xml:space="preserve"> database to store and read its data.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Roboto Light" w:cs="Roboto Light" w:eastAsia="Roboto Light" w:hAnsi="Roboto Light"/>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Besides the above mentioned components GDB uses Keycloak for Authentication, GTS for translations, ClamAV to scan uploaded files for viruses and </w:t>
      </w:r>
      <w:hyperlink r:id="rId7">
        <w:r w:rsidDel="00000000" w:rsidR="00000000" w:rsidRPr="00000000">
          <w:rPr>
            <w:rFonts w:ascii="Roboto Light" w:cs="Roboto Light" w:eastAsia="Roboto Light" w:hAnsi="Roboto Light"/>
            <w:color w:val="1155cc"/>
            <w:highlight w:val="white"/>
            <w:u w:val="single"/>
            <w:rtl w:val="0"/>
          </w:rPr>
          <w:t xml:space="preserve">Celery</w:t>
        </w:r>
      </w:hyperlink>
      <w:r w:rsidDel="00000000" w:rsidR="00000000" w:rsidRPr="00000000">
        <w:rPr>
          <w:rFonts w:ascii="Roboto Light" w:cs="Roboto Light" w:eastAsia="Roboto Light" w:hAnsi="Roboto Light"/>
          <w:highlight w:val="white"/>
          <w:rtl w:val="0"/>
        </w:rPr>
        <w:t xml:space="preserve"> for tasks management.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900" w:right="0" w:firstLine="0"/>
        <w:jc w:val="left"/>
        <w:rPr>
          <w:b w:val="1"/>
          <w:bCs w:val="1"/>
        </w:rPr>
      </w:pPr>
      <w:r w:rsidDel="00000000" w:rsidR="00000000" w:rsidRPr="00000000">
        <w:rPr>
          <w:b w:val="1"/>
          <w:bCs w:val="1"/>
        </w:rPr>
        <w:drawing>
          <wp:inline distB="114300" distT="114300" distL="114300" distR="114300">
            <wp:extent cx="7134225" cy="4422954"/>
            <wp:effectExtent b="0" l="0" r="0" t="0"/>
            <wp:docPr id="2" name="image2.png"/>
            <a:graphic>
              <a:graphicData uri="http://schemas.openxmlformats.org/drawingml/2006/picture">
                <pic:pic>
                  <pic:nvPicPr>
                    <pic:cNvPr id="0" name="image2.png"/>
                    <pic:cNvPicPr preferRelativeResize="0"/>
                  </pic:nvPicPr>
                  <pic:blipFill>
                    <a:blip r:embed="rId8"/>
                    <a:srcRect b="2990" l="0" r="0" t="6377"/>
                    <a:stretch>
                      <a:fillRect/>
                    </a:stretch>
                  </pic:blipFill>
                  <pic:spPr>
                    <a:xfrm>
                      <a:off x="0" y="0"/>
                      <a:ext cx="7134225" cy="442295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0" w:right="0" w:firstLine="0"/>
        <w:jc w:val="left"/>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tl w:val="0"/>
        </w:rPr>
        <w:t xml:space="preserve">The system can be connected with ActiveMQ where it will send events every time an internal database has been published in order for newly generated APIs to be consumed.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pPr>
      <w:r w:rsidDel="00000000" w:rsidR="00000000" w:rsidRPr="00000000">
        <w:rPr>
          <w:rFonts w:ascii="Roboto Light" w:cs="Roboto Light" w:eastAsia="Roboto Light" w:hAnsi="Roboto Light"/>
          <w:highlight w:val="white"/>
          <w:rtl w:val="0"/>
        </w:rPr>
        <w:t xml:space="preserve">For authentication, GDB accepts any number of OpenID connect servers.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right="0"/>
        <w:jc w:val="left"/>
        <w:rPr/>
      </w:pPr>
      <w:r w:rsidDel="00000000" w:rsidR="00000000" w:rsidRPr="00000000">
        <w:rPr>
          <w:rtl w:val="0"/>
        </w:rPr>
      </w:r>
    </w:p>
    <w:sectPr>
      <w:headerReference r:id="rId9" w:type="default"/>
      <w:footerReference r:id="rId10" w:type="default"/>
      <w:pgSz w:h="15840" w:w="12240" w:orient="portrait"/>
      <w:pgMar w:bottom="566.9291338582677"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rFonts w:ascii="Roboto Light" w:cs="Roboto Light" w:eastAsia="Roboto Light" w:hAnsi="Roboto Light"/>
        <w:highlight w:val="white"/>
      </w:rPr>
    </w:pPr>
    <w:r w:rsidDel="00000000" w:rsidR="00000000" w:rsidRPr="00000000">
      <w:rPr>
        <w:rFonts w:ascii="Roboto Light" w:cs="Roboto Light" w:eastAsia="Roboto Light" w:hAnsi="Roboto Light"/>
        <w:highlight w:val="white"/>
      </w:rPr>
      <w:drawing>
        <wp:inline distB="114300" distT="114300" distL="114300" distR="114300">
          <wp:extent cx="585788" cy="4956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5788" cy="49566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80" w:lineRule="auto"/>
      <w:rPr>
        <w:rFonts w:ascii="Roboto" w:cs="Roboto" w:eastAsia="Roboto" w:hAnsi="Roboto"/>
        <w:color w:val="0094da"/>
        <w:sz w:val="28"/>
        <w:szCs w:val="28"/>
        <w:highlight w:val="white"/>
      </w:rPr>
    </w:pPr>
    <w:bookmarkStart w:colFirst="0" w:colLast="0" w:name="_sb7l9hnltyzt" w:id="4"/>
    <w:bookmarkEnd w:id="4"/>
    <w:r w:rsidDel="00000000" w:rsidR="00000000" w:rsidRPr="00000000">
      <w:rPr>
        <w:rFonts w:ascii="Roboto" w:cs="Roboto" w:eastAsia="Roboto" w:hAnsi="Roboto"/>
        <w:color w:val="0094da"/>
        <w:sz w:val="28"/>
        <w:szCs w:val="28"/>
        <w:highlight w:val="white"/>
        <w:rtl w:val="0"/>
      </w:rPr>
      <w:t xml:space="preserve">GDB </w:t>
    </w:r>
  </w:p>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Technical Stack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jwt.io/" TargetMode="External"/><Relationship Id="rId7" Type="http://schemas.openxmlformats.org/officeDocument/2006/relationships/hyperlink" Target="https://docs.celeryq.dev/en/stabl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