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w:cs="Roboto" w:eastAsia="Roboto" w:hAnsi="Roboto"/>
          <w:b w:val="0"/>
          <w:bCs w:val="0"/>
          <w:sz w:val="32"/>
          <w:szCs w:val="32"/>
        </w:rPr>
      </w:pPr>
      <w:bookmarkStart w:colFirst="0" w:colLast="0" w:name="_tlj91e2wihv4" w:id="0"/>
      <w:bookmarkEnd w:id="0"/>
      <w:r w:rsidDel="00000000" w:rsidR="00000000" w:rsidRPr="00000000">
        <w:rPr>
          <w:rtl w:val="0"/>
        </w:rPr>
      </w:r>
    </w:p>
    <w:p w:rsidR="00000000" w:rsidDel="00000000" w:rsidP="00000000" w:rsidRDefault="00000000" w:rsidRPr="00000000" w14:paraId="0000000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Roboto Light" w:cs="Roboto Light" w:eastAsia="Roboto Light" w:hAnsi="Roboto Light"/>
        </w:rPr>
      </w:pPr>
      <w:bookmarkStart w:colFirst="0" w:colLast="0" w:name="_3089zb386dbq" w:id="1"/>
      <w:bookmarkEnd w:id="1"/>
      <w:r w:rsidDel="00000000" w:rsidR="00000000" w:rsidRPr="00000000">
        <w:rPr>
          <w:rFonts w:ascii="Roboto" w:cs="Roboto" w:eastAsia="Roboto" w:hAnsi="Roboto"/>
          <w:b w:val="0"/>
          <w:bCs w:val="0"/>
          <w:sz w:val="32"/>
          <w:szCs w:val="32"/>
          <w:rtl w:val="0"/>
        </w:rPr>
        <w:t xml:space="preserve">Interoperability of eRegistrations with other systems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eRegistrations offers seamless integration with external systems supporting API protocols like RESTful or SOAP, enabling data exchange. It provides the functionality to import WSDL or Swagger files directly, which describe the structure and capabilities of the APIs of external systems. Once these APIs are made available within the Business Process Automation (BPA), they can be utilized to define "Bots" for executing automated tasks involving the external systems.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For more complex scenarios, eRegistrations ecosystem uses a Service Bus, which works as a middleware, allowing a developer to create connectors and perform data transformations to facilitate the integration and exchange the information between the systems.  </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after="160" w:line="360" w:lineRule="auto"/>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3454400" cy="920750"/>
                <wp:effectExtent b="0" l="0" r="0" t="0"/>
                <wp:wrapSquare wrapText="bothSides" distB="0" distT="0" distL="114300" distR="114300"/>
                <wp:docPr descr="the data can flow in both direction meaning that eRegistrations system can send or receive information." id="1" name=""/>
                <a:graphic>
                  <a:graphicData uri="http://schemas.microsoft.com/office/word/2010/wordprocessingGroup">
                    <wpg:wgp>
                      <wpg:cNvGrpSpPr/>
                      <wpg:grpSpPr>
                        <a:xfrm>
                          <a:off x="0" y="0"/>
                          <a:ext cx="3454400" cy="920750"/>
                          <a:chOff x="0" y="0"/>
                          <a:chExt cx="3454400" cy="920750"/>
                        </a:xfrm>
                      </wpg:grpSpPr>
                      <wpg:grpSp>
                        <wpg:cNvGrpSpPr/>
                        <wpg:grpSpPr>
                          <a:xfrm>
                            <a:off x="0" y="0"/>
                            <a:ext cx="3454400" cy="920750"/>
                            <a:chOff x="0" y="0"/>
                            <a:chExt cx="3454400" cy="920750"/>
                          </a:xfrm>
                        </wpg:grpSpPr>
                        <wps:wsp>
                          <wps:cNvSpPr/>
                          <wps:cNvPr id="3" name="Shape 3"/>
                          <wps:spPr>
                            <a:xfrm>
                              <a:off x="0" y="0"/>
                              <a:ext cx="3454400" cy="92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5063" y="257173"/>
                              <a:ext cx="981256" cy="406402"/>
                            </a:xfrm>
                            <a:prstGeom prst="roundRect">
                              <a:avLst>
                                <a:gd fmla="val 10000"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66966" y="269076"/>
                              <a:ext cx="957450" cy="3825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eRegistrations</w:t>
                                </w:r>
                              </w:p>
                            </w:txbxContent>
                          </wps:txbx>
                          <wps:bodyPr anchorCtr="0" anchor="ctr" bIns="38100" lIns="38100" spcFirstLastPara="1" rIns="38100" wrap="square" tIns="38100">
                            <a:noAutofit/>
                          </wps:bodyPr>
                        </wps:wsp>
                        <wps:wsp>
                          <wps:cNvSpPr/>
                          <wps:cNvPr id="6" name="Shape 6"/>
                          <wps:spPr>
                            <a:xfrm>
                              <a:off x="1145762" y="165441"/>
                              <a:ext cx="1204328" cy="589866"/>
                            </a:xfrm>
                            <a:prstGeom prst="leftRightArrow">
                              <a:avLst>
                                <a:gd fmla="val 50000" name="adj1"/>
                                <a:gd fmla="val 50000" name="adj2"/>
                              </a:avLst>
                            </a:prstGeom>
                            <a:solidFill>
                              <a:schemeClr val="lt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1145762" y="283414"/>
                              <a:ext cx="1027368" cy="3539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8" name="Shape 8"/>
                          <wps:spPr>
                            <a:xfrm>
                              <a:off x="2418080" y="257173"/>
                              <a:ext cx="981256" cy="406402"/>
                            </a:xfrm>
                            <a:prstGeom prst="roundRect">
                              <a:avLst>
                                <a:gd fmla="val 10000" name="adj"/>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429983" y="269076"/>
                              <a:ext cx="957450" cy="3825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External System</w:t>
                                </w:r>
                              </w:p>
                            </w:txbxContent>
                          </wps:txbx>
                          <wps:bodyPr anchorCtr="0" anchor="ctr" bIns="38100" lIns="38100" spcFirstLastPara="1" rIns="381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3454400" cy="920750"/>
                <wp:effectExtent b="0" l="0" r="0" t="0"/>
                <wp:wrapSquare wrapText="bothSides" distB="0" distT="0" distL="114300" distR="114300"/>
                <wp:docPr descr="the data can flow in both direction meaning that eRegistrations system can send or receive information." id="1" name="image2.png"/>
                <a:graphic>
                  <a:graphicData uri="http://schemas.openxmlformats.org/drawingml/2006/picture">
                    <pic:pic>
                      <pic:nvPicPr>
                        <pic:cNvPr descr="the data can flow in both direction meaning that eRegistrations system can send or receive information." id="0" name="image2.png"/>
                        <pic:cNvPicPr preferRelativeResize="0"/>
                      </pic:nvPicPr>
                      <pic:blipFill>
                        <a:blip r:embed="rId6"/>
                        <a:srcRect/>
                        <a:stretch>
                          <a:fillRect/>
                        </a:stretch>
                      </pic:blipFill>
                      <pic:spPr>
                        <a:xfrm>
                          <a:off x="0" y="0"/>
                          <a:ext cx="3454400" cy="920750"/>
                        </a:xfrm>
                        <a:prstGeom prst="rect"/>
                        <a:ln/>
                      </pic:spPr>
                    </pic:pic>
                  </a:graphicData>
                </a:graphic>
              </wp:anchor>
            </w:drawing>
          </mc:Fallback>
        </mc:AlternateContent>
      </w:r>
    </w:p>
    <w:p w:rsidR="00000000" w:rsidDel="00000000" w:rsidP="00000000" w:rsidRDefault="00000000" w:rsidRPr="00000000" w14:paraId="00000008">
      <w:pPr>
        <w:keepNext w:val="1"/>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200" w:line="360" w:lineRule="auto"/>
        <w:rPr>
          <w:rFonts w:ascii="Calibri" w:cs="Calibri" w:eastAsia="Calibri" w:hAnsi="Calibri"/>
          <w:i w:val="1"/>
          <w:iCs w:val="1"/>
          <w:color w:val="44546a"/>
          <w:sz w:val="18"/>
          <w:szCs w:val="18"/>
        </w:rPr>
      </w:pPr>
      <w:r w:rsidDel="00000000" w:rsidR="00000000" w:rsidRPr="00000000">
        <w:rPr>
          <w:rtl w:val="0"/>
        </w:rPr>
      </w:r>
    </w:p>
    <w:p w:rsidR="00000000" w:rsidDel="00000000" w:rsidP="00000000" w:rsidRDefault="00000000" w:rsidRPr="00000000" w14:paraId="0000000A">
      <w:pPr>
        <w:spacing w:after="200" w:line="360" w:lineRule="auto"/>
        <w:rPr>
          <w:rFonts w:ascii="Calibri" w:cs="Calibri" w:eastAsia="Calibri" w:hAnsi="Calibri"/>
          <w:i w:val="1"/>
          <w:iCs w:val="1"/>
          <w:color w:val="44546a"/>
          <w:sz w:val="18"/>
          <w:szCs w:val="18"/>
        </w:rPr>
      </w:pPr>
      <w:r w:rsidDel="00000000" w:rsidR="00000000" w:rsidRPr="00000000">
        <w:rPr>
          <w:rtl w:val="0"/>
        </w:rPr>
      </w:r>
    </w:p>
    <w:p w:rsidR="00000000" w:rsidDel="00000000" w:rsidP="00000000" w:rsidRDefault="00000000" w:rsidRPr="00000000" w14:paraId="0000000B">
      <w:pPr>
        <w:spacing w:after="200" w:line="360" w:lineRule="auto"/>
        <w:jc w:val="center"/>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Figure 1. Bidirectional data flow.</w:t>
      </w:r>
    </w:p>
    <w:p w:rsidR="00000000" w:rsidDel="00000000" w:rsidP="00000000" w:rsidRDefault="00000000" w:rsidRPr="00000000" w14:paraId="0000000C">
      <w:pPr>
        <w:spacing w:after="1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Light" w:cs="Roboto Light" w:eastAsia="Roboto Light" w:hAnsi="Roboto Light"/>
        </w:rPr>
      </w:pPr>
      <w:r w:rsidDel="00000000" w:rsidR="00000000" w:rsidRPr="00000000">
        <w:rPr>
          <w:rFonts w:ascii="Roboto Light" w:cs="Roboto Light" w:eastAsia="Roboto Light" w:hAnsi="Roboto Light"/>
          <w:rtl w:val="0"/>
        </w:rPr>
        <w:t xml:space="preserve">Figure 1 shows how eRegistrations can work with the external service to send or receive information. This allows the analyst to get or send data in different steps in the flow.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Roboto Light" w:cs="Roboto Light" w:eastAsia="Roboto Light" w:hAnsi="Roboto Light"/>
          <w:rtl w:val="0"/>
        </w:rPr>
        <w:t xml:space="preserve">It is important to mention that the eRegistrations team provides technical training sessions to introduce the use of the Service Bus (Mule) tool and it can work together to implement different use cases.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80" w:line="288" w:lineRule="auto"/>
      <w:rPr/>
    </w:pPr>
    <w:bookmarkStart w:colFirst="0" w:colLast="0" w:name="_sb7l9hnltyzt" w:id="2"/>
    <w:bookmarkEnd w:id="2"/>
    <w:r w:rsidDel="00000000" w:rsidR="00000000" w:rsidRPr="00000000">
      <w:rPr>
        <w:rFonts w:ascii="Roboto" w:cs="Roboto" w:eastAsia="Roboto" w:hAnsi="Roboto"/>
        <w:b w:val="0"/>
        <w:bCs w:val="0"/>
        <w:color w:val="0094da"/>
        <w:sz w:val="28"/>
        <w:szCs w:val="28"/>
        <w:highlight w:val="white"/>
        <w:rtl w:val="0"/>
      </w:rPr>
      <w:t xml:space="preserve">eRegistrations - Technical stack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