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Georgia" w:cs="Georgia" w:eastAsia="Georgia" w:hAnsi="Georgia"/>
          <w:b/>
          <w:bCs/>
          <w:sz w:val="28"/>
          <w:szCs w:val="28"/>
        </w:rPr>
        <w:t xml:space="preserve">Colegio Miguel Antonio Caro — COLMAC</w:t>
      </w:r>
    </w:p>
    <w:p>
      <w:pPr>
        <w:spacing w:after="1000"/>
        <w:jc w:val="center"/>
      </w:pPr>
      <w:r>
        <w:rPr>
          <w:rFonts w:ascii="Georgia" w:cs="Georgia" w:eastAsia="Georgia" w:hAnsi="Georgia"/>
          <w:sz w:val="24"/>
          <w:szCs w:val="24"/>
        </w:rPr>
        <w:t xml:space="preserve">Estudiante: María Kamila Vega Correa</w:t>
      </w:r>
    </w:p>
    <w:p>
      <w:pPr>
        <w:spacing w:after="200"/>
        <w:jc w:val="center"/>
      </w:pPr>
      <w:r>
        <w:rPr>
          <w:rFonts w:ascii="Georgia" w:cs="Georgia" w:eastAsia="Georgia" w:hAnsi="Georgia"/>
          <w:b/>
          <w:bCs/>
          <w:sz w:val="26"/>
          <w:szCs w:val="26"/>
        </w:rPr>
        <w:t xml:space="preserve">"La representación del rol femenino en las obras literarias contemporáneas 'Como agua para chocolate' y 'Las travesías': un análisis comparativo"</w:t>
      </w:r>
    </w:p>
    <w:p>
      <w:pPr>
        <w:spacing w:after="200" w:before="1000"/>
        <w:jc w:val="center"/>
      </w:pPr>
      <w:r>
        <w:rPr>
          <w:rFonts w:ascii="Georgia" w:cs="Georgia" w:eastAsia="Georgia" w:hAnsi="Georgia"/>
          <w:sz w:val="24"/>
          <w:szCs w:val="24"/>
        </w:rPr>
        <w:t xml:space="preserve">Asesor</w:t>
      </w:r>
    </w:p>
    <w:p>
      <w:pPr>
        <w:spacing w:after="200"/>
        <w:jc w:val="center"/>
      </w:pPr>
      <w:r>
        <w:rPr>
          <w:rFonts w:ascii="Georgia" w:cs="Georgia" w:eastAsia="Georgia" w:hAnsi="Georgia"/>
          <w:sz w:val="24"/>
          <w:szCs w:val="24"/>
        </w:rPr>
        <w:t xml:space="preserve">Anteproyecto Investigativo de Monografía</w:t>
      </w:r>
    </w:p>
    <w:p>
      <w:pPr>
        <w:spacing w:after="200"/>
        <w:jc w:val="center"/>
      </w:pPr>
      <w:r>
        <w:rPr>
          <w:rFonts w:ascii="Georgia" w:cs="Georgia" w:eastAsia="Georgia" w:hAnsi="Georgia"/>
          <w:sz w:val="24"/>
          <w:szCs w:val="24"/>
        </w:rPr>
        <w:t xml:space="preserve">Colegio Miguel Antonio Caro</w:t>
      </w:r>
    </w:p>
    <w:p>
      <w:pPr>
        <w:spacing w:after="200"/>
        <w:jc w:val="center"/>
      </w:pPr>
      <w:r>
        <w:rPr>
          <w:rFonts w:ascii="Georgia" w:cs="Georgia" w:eastAsia="Georgia" w:hAnsi="Georgia"/>
          <w:sz w:val="24"/>
          <w:szCs w:val="24"/>
        </w:rPr>
        <w:t xml:space="preserve">Bogotá D. C., 2026</w:t>
      </w:r>
    </w:p>
    <w:p>
      <w:pPr>
        <w:spacing w:before="800"/>
        <w:jc w:val="center"/>
      </w:pPr>
      <w:r>
        <w:rPr>
          <w:rFonts w:ascii="Georgia" w:cs="Georgia" w:eastAsia="Georgia" w:hAnsi="Georgia"/>
          <w:i/>
          <w:iCs/>
          <w:color w:val="777777"/>
          <w:sz w:val="20"/>
          <w:szCs w:val="20"/>
        </w:rPr>
        <w:t xml:space="preserve">Versión 2 — revisada y ampliada con nuevas fuentes bibliográficas</w:t>
      </w:r>
    </w:p>
    <w:p>
      <w:r>
        <w:br w:type="page"/>
      </w:r>
    </w:p>
    <w:p>
      <w:pPr>
        <w:pStyle w:val="Heading1"/>
        <w:spacing w:after="240" w:before="480"/>
        <w:jc w:val="left"/>
      </w:pPr>
      <w:r>
        <w:rPr>
          <w:rFonts w:ascii="Georgia" w:cs="Georgia" w:eastAsia="Georgia" w:hAnsi="Georgia"/>
          <w:b/>
          <w:bCs/>
          <w:sz w:val="30"/>
          <w:szCs w:val="30"/>
        </w:rPr>
        <w:t xml:space="preserve">Resumen</w:t>
      </w:r>
    </w:p>
    <w:p>
      <w:pPr>
        <w:spacing w:after="200" w:before="0" w:line="360"/>
        <w:jc w:val="both"/>
      </w:pPr>
      <w:r>
        <w:rPr>
          <w:rFonts w:ascii="Georgia" w:cs="Georgia" w:eastAsia="Georgia" w:hAnsi="Georgia"/>
          <w:b w:val="false"/>
          <w:bCs w:val="false"/>
          <w:i w:val="false"/>
          <w:iCs w:val="false"/>
          <w:sz w:val="24"/>
          <w:szCs w:val="24"/>
        </w:rPr>
        <w:t xml:space="preserve">La presente monografía aborda la influencia de la literatura contemporánea en la percepción del rol de la mujer, a partir de un análisis comparativo de las obras "Como agua para chocolate", de Laura Esquivel, y "Las travesías", de Gilmer Mesa. La investigación surge del interés por comprender cómo la literatura representa a las mujeres y cómo estas representaciones permiten reconocer las distintas formas en que los roles femeninos se han construido dentro de la sociedad. Aunque ambas obras presentan historias, personajes y contextos diferentes, las dos permiten reflexionar sobre el lugar que ocupa la mujer en su entorno y sobre la manera en que factores sociales, familiares y culturales pueden influir en la construcción de dicho rol.</w:t>
      </w:r>
    </w:p>
    <w:p>
      <w:pPr>
        <w:spacing w:after="200" w:before="0" w:line="360"/>
        <w:jc w:val="both"/>
      </w:pPr>
      <w:r>
        <w:rPr>
          <w:rFonts w:ascii="Georgia" w:cs="Georgia" w:eastAsia="Georgia" w:hAnsi="Georgia"/>
          <w:b w:val="false"/>
          <w:bCs w:val="false"/>
          <w:i w:val="false"/>
          <w:iCs w:val="false"/>
          <w:sz w:val="24"/>
          <w:szCs w:val="24"/>
        </w:rPr>
        <w:t xml:space="preserve">El estudio busca identificar las semejanzas y diferencias que existen en la construcción de los personajes femeninos de ambas obras. Para ello, se tendrán en cuenta aspectos como la autonomía, la identidad, las relaciones familiares y sociales, los estereotipos de género, las normas establecidas por la sociedad, la capacidad de tomar decisiones y las diferentes formas en que las mujeres enfrentan situaciones que pueden limitar o condicionar su libertad. A partir de estos elementos, se pretende comprender cómo cada obra presenta una visión particular de la mujer y cómo estas representaciones pueden relacionarse con situaciones, cambios y problemáticas que continúan presentes en la sociedad actual.</w:t>
      </w:r>
    </w:p>
    <w:p>
      <w:pPr>
        <w:spacing w:after="200" w:before="0" w:line="360"/>
        <w:jc w:val="both"/>
      </w:pPr>
      <w:r>
        <w:rPr>
          <w:rFonts w:ascii="Georgia" w:cs="Georgia" w:eastAsia="Georgia" w:hAnsi="Georgia"/>
          <w:b w:val="false"/>
          <w:bCs w:val="false"/>
          <w:i w:val="false"/>
          <w:iCs w:val="false"/>
          <w:sz w:val="24"/>
          <w:szCs w:val="24"/>
        </w:rPr>
        <w:t xml:space="preserve">En "Como agua para chocolate", la representación femenina permite analizar principalmente la influencia de las tradiciones familiares y de las normas sociales sobre las decisiones y la vida de las mujeres, en un rancho mexicano ambientado en el contexto de la Revolución mexicana. A través de personajes como Tita, Mamá Elena, Rosaura y Gertrudis, la novela ofrece varias respuestas distintas frente a una misma tradición opresiva —la que prohíbe casarse a la hija menor de la familia—: la resistencia silenciosa, la reproducción de la norma, la ruptura radical y, en la generación siguiente, la ruptura definitiva. Por su parte, "Las travesías" permite analizar una representación diferente de la mujer, marcada por el desplazamiento, la orfandad bélica y la violencia política que atraviesa casi un siglo de conflicto en el norte de Antioquia, Colombia. La comparación entre ambas obras permite comprender que el rol femenino no puede interpretarse desde una única perspectiva, ya que adquiere diferentes significados según el contexto social, cultural, histórico y familiar en el que se desarrolla.</w:t>
      </w:r>
    </w:p>
    <w:p>
      <w:pPr>
        <w:spacing w:after="200" w:before="0" w:line="360"/>
        <w:jc w:val="both"/>
      </w:pPr>
      <w:r>
        <w:rPr>
          <w:rFonts w:ascii="Georgia" w:cs="Georgia" w:eastAsia="Georgia" w:hAnsi="Georgia"/>
          <w:b w:val="false"/>
          <w:bCs w:val="false"/>
          <w:i w:val="false"/>
          <w:iCs w:val="false"/>
          <w:sz w:val="24"/>
          <w:szCs w:val="24"/>
        </w:rPr>
        <w:t xml:space="preserve">Además del análisis literario, la investigación contará con un enfoque mixto, ya que combinará elementos cualitativos y cuantitativos. El componente cualitativo estará enfocado en la interpretación y comparación de los elementos presentes en las dos obras, mientras que el componente cuantitativo se desarrollará mediante la aplicación de una encuesta a estudiantes de los grados 9.º y 10.º del Colegio Miguel Antonio Caro.</w:t>
      </w:r>
    </w:p>
    <w:p>
      <w:pPr>
        <w:spacing w:after="240" w:before="120" w:line="300"/>
        <w:jc w:val="both"/>
      </w:pPr>
      <w:r>
        <w:rPr>
          <w:rFonts w:ascii="Georgia" w:cs="Georgia" w:eastAsia="Georgia" w:hAnsi="Georgia"/>
          <w:i/>
          <w:iCs/>
          <w:color w:val="555555"/>
          <w:sz w:val="20"/>
          <w:szCs w:val="20"/>
        </w:rPr>
        <w:t xml:space="preserve">Nota de esta versión: se retiró del resumen la referencia a "(Fernanda, 2021)" que aparecía en la versión anterior. Esa tesis de la Universidad del Cauca no está entre los documentos cargados al proyecto y no fue posible verificar su contenido ni su página exacta; en su lugar, esta versión describe directamente lo hallado en la lectura completa de la novela.</w:t>
      </w:r>
    </w:p>
    <w:p>
      <w:pPr>
        <w:pStyle w:val="Heading1"/>
        <w:spacing w:after="240" w:before="480"/>
        <w:jc w:val="left"/>
      </w:pPr>
      <w:r>
        <w:rPr>
          <w:rFonts w:ascii="Georgia" w:cs="Georgia" w:eastAsia="Georgia" w:hAnsi="Georgia"/>
          <w:b/>
          <w:bCs/>
          <w:sz w:val="30"/>
          <w:szCs w:val="30"/>
        </w:rPr>
        <w:t xml:space="preserve">Introducción</w:t>
      </w:r>
    </w:p>
    <w:p>
      <w:pPr>
        <w:spacing w:after="200" w:before="0" w:line="360"/>
        <w:jc w:val="both"/>
      </w:pPr>
      <w:r>
        <w:rPr>
          <w:rFonts w:ascii="Georgia" w:cs="Georgia" w:eastAsia="Georgia" w:hAnsi="Georgia"/>
          <w:b w:val="false"/>
          <w:bCs w:val="false"/>
          <w:i w:val="false"/>
          <w:iCs w:val="false"/>
          <w:sz w:val="24"/>
          <w:szCs w:val="24"/>
        </w:rPr>
        <w:t xml:space="preserve">La literatura ha sido, a lo largo del tiempo, una forma de representar la realidad, las costumbres, las relaciones sociales y las distintas maneras en que las personas comprenden el mundo que las rodea. Por medio de las historias y de sus personajes, las obras literarias muestran las ideas, los valores y los comportamientos que caracterizan a una sociedad determinada. En este sentido, la representación de la mujer dentro de la literatura permite observar cómo se han construido y transformado las ideas relacionadas con el papel femenino, así como las expectativas y normas que han influido en la vida de las mujeres en diferentes contextos históricos y culturales.</w:t>
      </w:r>
    </w:p>
    <w:p>
      <w:pPr>
        <w:spacing w:after="200" w:before="0" w:line="360"/>
        <w:jc w:val="both"/>
      </w:pPr>
      <w:r>
        <w:rPr>
          <w:rFonts w:ascii="Georgia" w:cs="Georgia" w:eastAsia="Georgia" w:hAnsi="Georgia"/>
          <w:b w:val="false"/>
          <w:bCs w:val="false"/>
          <w:i w:val="false"/>
          <w:iCs w:val="false"/>
          <w:sz w:val="24"/>
          <w:szCs w:val="24"/>
        </w:rPr>
        <w:t xml:space="preserve">El rol de la mujer no ha permanecido igual a lo largo de la historia. Como lo plantea Beauvoir (1949) en su obra "El segundo sexo", "No se nace mujer: se llega a serlo" (p. 109), lo que indica que el papel femenino no responde a una condición biológica fija, sino a un proceso de construcción social e histórica. Esta misma tesis constructivista se sostiene desde la historiografía contemporánea: Rondón González (2026) argumenta que la historiografía tradicional ha funcionado como "un espejo deformado" que privilegió las experiencias de quienes ostentaban el poder, y cuestiona el mito de que la dominación masculina sea "un fenómeno universal y atemporal". Las transformaciones sociales y culturales han permitido cuestionar algunas de las ideas que durante mucho tiempo estuvieron relacionadas con el comportamiento, las decisiones y el lugar que debía ocupar una mujer dentro de la familia y la sociedad. Sin embargo, todavía existen estereotipos, expectativas y situaciones que pueden influir en la manera en que se percibe a las mujeres y en las oportunidades que tienen para construir su propia identidad. Por esta razón, analizar la manera en que estos aspectos aparecen representados en la literatura permite establecer una relación entre las obras literarias y algunas de las realidades que continúan formando parte de la sociedad.</w:t>
      </w:r>
    </w:p>
    <w:p>
      <w:pPr>
        <w:spacing w:after="200" w:before="0" w:line="360"/>
        <w:jc w:val="both"/>
      </w:pPr>
      <w:r>
        <w:rPr>
          <w:rFonts w:ascii="Georgia" w:cs="Georgia" w:eastAsia="Georgia" w:hAnsi="Georgia"/>
          <w:b w:val="false"/>
          <w:bCs w:val="false"/>
          <w:i w:val="false"/>
          <w:iCs w:val="false"/>
          <w:sz w:val="24"/>
          <w:szCs w:val="24"/>
        </w:rPr>
        <w:t xml:space="preserve">Esta transformación puede observarse con particular claridad en el periodo histórico en el que se ambientan las dos obras seleccionadas para este análisis. "Como agua para chocolate", de Laura Esquivel, sitúa la vida de sus personajes femeninos en el contexto de la Revolución mexicana, tal como se evidencia en el pasaje en que la tropa revolucionaria llega al rancho de la familia De la Garza y se enfrenta a Mamá Elena (Esquivel, s. f., cap. "V. Mayo"). Por su parte, "Las travesías", de Gilmer Mesa, presenta una historia "localizable en gran parte del siglo xx en Colombia, en el marco de la guerra bipartidista" (Pareja Díaz, 2024, p. 234), periodo marcado por La Violencia y por la colonización de tierras rurales en el norte de Antioquia. La lectura completa de la novela confirma y amplía esta ubicación: la historia familiar narrada se extiende, de hecho, desde las guerras civiles liberal-conservadoras de inicios del siglo XX hasta el conflicto armado contemporáneo, cerrando con una recreación de la masacre de El Aro (Antioquia, 1997). Delimitar temporalmente ambas narrativas es necesario porque permite comprender que las condiciones que enfrentan los personajes femeninos de cada obra no son atemporales, sino que responden a procesos históricos y sociales específicos, cuyo estudio se amplía en el marco teórico de esta monografía.</w:t>
      </w:r>
    </w:p>
    <w:p>
      <w:pPr>
        <w:spacing w:after="200" w:before="0" w:line="360"/>
        <w:jc w:val="both"/>
      </w:pPr>
      <w:r>
        <w:rPr>
          <w:rFonts w:ascii="Georgia" w:cs="Georgia" w:eastAsia="Georgia" w:hAnsi="Georgia"/>
          <w:b w:val="false"/>
          <w:bCs w:val="false"/>
          <w:i w:val="false"/>
          <w:iCs w:val="false"/>
          <w:sz w:val="24"/>
          <w:szCs w:val="24"/>
        </w:rPr>
        <w:t xml:space="preserve">A partir de esta perspectiva, la presente investigación propone analizar la representación del rol femenino mediante la comparación de "Como agua para chocolate", de Laura Esquivel, y "Las travesías", de Gilmer Mesa. La selección de estas obras responde al interés por observar cómo dos propuestas literarias diferentes, situadas en contextos históricos distintos, construyen personajes femeninos y cómo estos se relacionan con las normas, expectativas y situaciones que los rodean. El estudio se dirige a los estudiantes de los grados 9.º y 10.º del Colegio Miguel Antonio Caro, población con la cual se contrastarán, mediante encuesta, las representaciones identificadas en ambas obras y las percepciones actuales sobre el papel de la mujer. Aunque las obras presentan historias y escenarios diferentes, ambas ofrecen elementos que permiten reflexionar sobre la autonomía, la identidad, las relaciones familiares y sociales, y las formas en que las mujeres enfrentan las condiciones de su entorno.</w:t>
      </w:r>
    </w:p>
    <w:p>
      <w:pPr>
        <w:pStyle w:val="Heading1"/>
        <w:spacing w:after="240" w:before="480"/>
        <w:jc w:val="left"/>
      </w:pPr>
      <w:r>
        <w:rPr>
          <w:rFonts w:ascii="Georgia" w:cs="Georgia" w:eastAsia="Georgia" w:hAnsi="Georgia"/>
          <w:b/>
          <w:bCs/>
          <w:sz w:val="30"/>
          <w:szCs w:val="30"/>
        </w:rPr>
        <w:t xml:space="preserve">Justificación</w:t>
      </w:r>
    </w:p>
    <w:p>
      <w:pPr>
        <w:spacing w:after="200" w:before="0" w:line="360"/>
        <w:jc w:val="both"/>
      </w:pPr>
      <w:r>
        <w:rPr>
          <w:rFonts w:ascii="Georgia" w:cs="Georgia" w:eastAsia="Georgia" w:hAnsi="Georgia"/>
          <w:b w:val="false"/>
          <w:bCs w:val="false"/>
          <w:i w:val="false"/>
          <w:iCs w:val="false"/>
          <w:sz w:val="24"/>
          <w:szCs w:val="24"/>
        </w:rPr>
        <w:t xml:space="preserve">La importancia de esta investigación radica en visibilizar cómo el rol de la mujer se ha visto históricamente desfavorecido en distintos ámbitos. Como lo señala Beauvoir (1949), "la mujer siempre ha sido, si no la esclava del hombre, al menos su vasalla; los dos sexos jamás han compartido el mundo en pie de igualdad" (p. 7). Durante mucho tiempo, las mujeres han sido ubicadas y limitadas por normas familiares, culturales y sociales a cumplir roles específicos, relacionados principalmente con la crianza, el cuidado del hogar y el bienestar de los demás. Estas ideas han influido en la manera en que se percibe a la mujer y, en algunos casos, han condicionado sus decisiones, su autonomía y las posibilidades de construir una identidad propia.</w:t>
      </w:r>
    </w:p>
    <w:p>
      <w:pPr>
        <w:spacing w:after="200" w:before="0" w:line="360"/>
        <w:jc w:val="both"/>
      </w:pPr>
      <w:r>
        <w:rPr>
          <w:rFonts w:ascii="Georgia" w:cs="Georgia" w:eastAsia="Georgia" w:hAnsi="Georgia"/>
          <w:b w:val="false"/>
          <w:bCs w:val="false"/>
          <w:i w:val="false"/>
          <w:iCs w:val="false"/>
          <w:sz w:val="24"/>
          <w:szCs w:val="24"/>
        </w:rPr>
        <w:t xml:space="preserve">Sin embargo, esta situación no ha permanecido estática. Con el paso del tiempo, las mujeres han cuestionado muchas de estas ideas y han buscado ocupar espacios que anteriormente les eran negados o en los que su participación era limitada. En este sentido, las obras que se abordan en esta investigación permiten observar diferentes formas en que los personajes femeninos enfrentan las normas y expectativas impuestas por su entorno. A través de la literatura, estas experiencias pueden convertirse en una forma de resistencia, en la medida en que muestran mujeres que cuestionan aquello que se les ha impuesto, toman decisiones sobre su propia vida y buscan construir su identidad desde sus propias perspectivas.</w:t>
      </w:r>
    </w:p>
    <w:p>
      <w:pPr>
        <w:spacing w:after="200" w:before="0" w:line="360"/>
        <w:jc w:val="both"/>
      </w:pPr>
      <w:r>
        <w:rPr>
          <w:rFonts w:ascii="Georgia" w:cs="Georgia" w:eastAsia="Georgia" w:hAnsi="Georgia"/>
          <w:b w:val="false"/>
          <w:bCs w:val="false"/>
          <w:i w:val="false"/>
          <w:iCs w:val="false"/>
          <w:sz w:val="24"/>
          <w:szCs w:val="24"/>
        </w:rPr>
        <w:t xml:space="preserve">Por esta razón, resulta pertinente comparar "Como agua para chocolate", de Laura Esquivel, y "Las travesías", de Gilmer Mesa, pues ambas obras permiten acercarse a distintas representaciones de la mujer y a diferentes maneras de enfrentar las circunstancias que las rodean. La comparación permite reconocer que no existe una única forma de vivir o comprender el rol femenino, sino que este se encuentra influenciado por el contexto histórico, familiar, social y cultural de cada personaje. Además, permite observar cómo aspectos como la autonomía, la identidad, las relaciones familiares, los estereotipos y la toma de decisiones adquieren significados distintos dentro de cada obra.</w:t>
      </w:r>
    </w:p>
    <w:p>
      <w:pPr>
        <w:spacing w:after="200" w:before="0" w:line="360"/>
        <w:jc w:val="both"/>
      </w:pPr>
      <w:r>
        <w:rPr>
          <w:rFonts w:ascii="Georgia" w:cs="Georgia" w:eastAsia="Georgia" w:hAnsi="Georgia"/>
          <w:b w:val="false"/>
          <w:bCs w:val="false"/>
          <w:i w:val="false"/>
          <w:iCs w:val="false"/>
          <w:sz w:val="24"/>
          <w:szCs w:val="24"/>
        </w:rPr>
        <w:t xml:space="preserve">Esta investigación también busca ir más allá del análisis de los personajes y relacionar la literatura con la percepción que existe actualmente sobre el papel de la mujer entre los estudiantes de los grados 9.º y 10.º del Colegio Miguel Antonio Caro. Para ello, se tendrá en cuenta la opinión de esta población mediante la aplicación de una encuesta, con el propósito de conocer cómo interpreta algunas de las situaciones y representaciones femeninas presentes en las obras seleccionadas. Esto permitirá establecer una relación entre lo que se encuentra en la literatura y la manera en que estas representaciones son comprendidas desde una mirada actual.</w:t>
      </w:r>
    </w:p>
    <w:p>
      <w:pPr>
        <w:pStyle w:val="Heading1"/>
        <w:spacing w:after="240" w:before="480"/>
        <w:jc w:val="left"/>
      </w:pPr>
      <w:r>
        <w:rPr>
          <w:rFonts w:ascii="Georgia" w:cs="Georgia" w:eastAsia="Georgia" w:hAnsi="Georgia"/>
          <w:b/>
          <w:bCs/>
          <w:sz w:val="30"/>
          <w:szCs w:val="30"/>
        </w:rPr>
        <w:t xml:space="preserve">Planteamiento del problema</w:t>
      </w:r>
    </w:p>
    <w:p>
      <w:pPr>
        <w:pStyle w:val="Heading2"/>
        <w:spacing w:after="200" w:before="360"/>
      </w:pPr>
      <w:r>
        <w:rPr>
          <w:rFonts w:ascii="Georgia" w:cs="Georgia" w:eastAsia="Georgia" w:hAnsi="Georgia"/>
          <w:b/>
          <w:bCs/>
          <w:sz w:val="26"/>
          <w:szCs w:val="26"/>
        </w:rPr>
        <w:t xml:space="preserve">Título investigativo</w:t>
      </w:r>
    </w:p>
    <w:p>
      <w:pPr>
        <w:spacing w:after="200" w:before="100" w:line="340"/>
        <w:ind w:left="720" w:right="720"/>
        <w:jc w:val="both"/>
      </w:pPr>
      <w:r>
        <w:rPr>
          <w:rFonts w:ascii="Georgia" w:cs="Georgia" w:eastAsia="Georgia" w:hAnsi="Georgia"/>
          <w:i/>
          <w:iCs/>
          <w:sz w:val="22"/>
          <w:szCs w:val="22"/>
        </w:rPr>
        <w:t xml:space="preserve">"La representación del rol femenino en las obras literarias contemporáneas 'Como agua para chocolate' y 'Las travesías': un análisis comparativo."</w:t>
      </w:r>
      <w:r>
        <w:rPr>
          <w:rFonts w:ascii="Georgia" w:cs="Georgia" w:eastAsia="Georgia" w:hAnsi="Georgia"/>
          <w:sz w:val="22"/>
          <w:szCs w:val="22"/>
        </w:rPr>
        <w:t xml:space="preserve"/>
      </w:r>
    </w:p>
    <w:p>
      <w:pPr>
        <w:spacing w:after="240" w:before="120" w:line="300"/>
        <w:jc w:val="both"/>
      </w:pPr>
      <w:r>
        <w:rPr>
          <w:rFonts w:ascii="Georgia" w:cs="Georgia" w:eastAsia="Georgia" w:hAnsi="Georgia"/>
          <w:i/>
          <w:iCs/>
          <w:color w:val="555555"/>
          <w:sz w:val="20"/>
          <w:szCs w:val="20"/>
        </w:rPr>
        <w:t xml:space="preserve">Nota de esta versión — decisión editorial sobre el título: existían tres formulaciones distintas del título en versiones anteriores del documento (una en portada, otra en esta sección, y una reformulación posterior del asesor). Se adopta aquí la reformulación explícita del asesor, validada por él mismo como "bien sintetizada". La instrucción de incluir la población del estudio (Colegio Miguel Antonio Caro, grados 9.º y 10.º) se conserva de forma explícita en la Introducción, la Situación problema, la Pregunta problema y los Objetivos, aunque no aparezca literalmente en esta fórmula corta del título. Esta decisión queda documentada para que el asesor la confirme o la ajuste.</w:t>
      </w:r>
    </w:p>
    <w:p>
      <w:pPr>
        <w:pStyle w:val="Heading2"/>
        <w:spacing w:after="200" w:before="360"/>
      </w:pPr>
      <w:r>
        <w:rPr>
          <w:rFonts w:ascii="Georgia" w:cs="Georgia" w:eastAsia="Georgia" w:hAnsi="Georgia"/>
          <w:b/>
          <w:bCs/>
          <w:sz w:val="26"/>
          <w:szCs w:val="26"/>
        </w:rPr>
        <w:t xml:space="preserve">Situación problema</w:t>
      </w:r>
    </w:p>
    <w:p>
      <w:pPr>
        <w:spacing w:after="200" w:before="0" w:line="360"/>
        <w:jc w:val="both"/>
      </w:pPr>
      <w:r>
        <w:rPr>
          <w:rFonts w:ascii="Georgia" w:cs="Georgia" w:eastAsia="Georgia" w:hAnsi="Georgia"/>
          <w:b w:val="false"/>
          <w:bCs w:val="false"/>
          <w:i w:val="false"/>
          <w:iCs w:val="false"/>
          <w:sz w:val="24"/>
          <w:szCs w:val="24"/>
        </w:rPr>
        <w:t xml:space="preserve">A lo largo de la historia, el papel de la mujer dentro de la sociedad ha estado marcado por diferentes normas, expectativas y estereotipos que han limitado su participación en determinados espacios. Durante mucho tiempo, se relacionó a la mujer principalmente con el cuidado del hogar, la crianza y el cumplimiento de responsabilidades familiares, mientras que otros ámbitos, como el laboral, económico, político y social, fueron considerados principalmente espacios masculinos. Aunque estas ideas han cambiado con el paso del tiempo y las mujeres han alcanzado una mayor participación en diferentes ámbitos de la sociedad, todavía existen estereotipos y expectativas relacionados con el género que pueden influir en la manera en que se percibe y se construye la identidad femenina.</w:t>
      </w:r>
    </w:p>
    <w:p>
      <w:pPr>
        <w:spacing w:after="200" w:before="0" w:line="360"/>
        <w:jc w:val="both"/>
      </w:pPr>
      <w:r>
        <w:rPr>
          <w:rFonts w:ascii="Georgia" w:cs="Georgia" w:eastAsia="Georgia" w:hAnsi="Georgia"/>
          <w:b w:val="false"/>
          <w:bCs w:val="false"/>
          <w:i w:val="false"/>
          <w:iCs w:val="false"/>
          <w:sz w:val="24"/>
          <w:szCs w:val="24"/>
        </w:rPr>
        <w:t xml:space="preserve">Esta problemática se refleja en periodos históricos concretos dentro de las dos obras seleccionadas para este análisis. En "Como agua para chocolate", de Laura Esquivel, la subordinación de los personajes femeninos a las normas familiares se desarrolla en el contexto de la Revolución mexicana de inicios del siglo XX, tal como se evidencia cuando la tropa revolucionaria llega al rancho de la familia De la Garza y se enfrenta a Mamá Elena (Esquivel, s. f., cap. "V. Mayo"). En "Las travesías", de Gilmer Mesa, la problemática se enmarca en un periodo distinto: el relato es "localizable en gran parte del siglo xx en Colombia, en el marco de la guerra bipartidista" (Pareja Díaz, 2024, p. 234), es decir, en el contexto de La Violencia y de la colonización de tierras rurales en el norte de Antioquia. Ubicar la problemática en estos dos momentos históricos permite comprender que las limitaciones impuestas al rol femenino no se presentan de la misma manera en todos los contextos, sino que se configuran de forma distinta según el periodo, el país y las condiciones sociales en que transcurre cada narrativa.</w:t>
      </w:r>
    </w:p>
    <w:p>
      <w:pPr>
        <w:spacing w:after="200" w:before="0" w:line="360"/>
        <w:jc w:val="both"/>
      </w:pPr>
      <w:r>
        <w:rPr>
          <w:rFonts w:ascii="Georgia" w:cs="Georgia" w:eastAsia="Georgia" w:hAnsi="Georgia"/>
          <w:b w:val="false"/>
          <w:bCs w:val="false"/>
          <w:i w:val="false"/>
          <w:iCs w:val="false"/>
          <w:sz w:val="24"/>
          <w:szCs w:val="24"/>
        </w:rPr>
        <w:t xml:space="preserve">Esta situación también puede observarse en la literatura, debido a que las obras literarias no se encuentran separadas de la sociedad en la que son creadas. Los personajes femeninos pueden reflejar las ideas, costumbres y conflictos de los contextos en los que se desarrollan, pero también pueden representar formas de cuestionar aquello que ha sido establecido. De esta manera, la literatura puede mostrar mujeres condicionadas por su entorno, pero también personajes que buscan tomar sus propias decisiones, construir su identidad y alcanzar una mayor autonomía. Esta situación resulta especialmente relevante para los estudiantes de los grados 9.º y 10.º del Colegio Miguel Antonio Caro, cuyas percepciones sobre el rol femenino se contrastarán en esta investigación con las representaciones identificadas en ambas obras.</w:t>
      </w:r>
    </w:p>
    <w:p>
      <w:pPr>
        <w:pStyle w:val="Heading2"/>
        <w:spacing w:after="200" w:before="360"/>
      </w:pPr>
      <w:r>
        <w:rPr>
          <w:rFonts w:ascii="Georgia" w:cs="Georgia" w:eastAsia="Georgia" w:hAnsi="Georgia"/>
          <w:b/>
          <w:bCs/>
          <w:sz w:val="26"/>
          <w:szCs w:val="26"/>
        </w:rPr>
        <w:t xml:space="preserve">Pregunta problema</w:t>
      </w:r>
    </w:p>
    <w:p>
      <w:pPr>
        <w:spacing w:after="200" w:before="0" w:line="360"/>
        <w:jc w:val="both"/>
      </w:pPr>
      <w:r>
        <w:rPr>
          <w:rFonts w:ascii="Georgia" w:cs="Georgia" w:eastAsia="Georgia" w:hAnsi="Georgia"/>
          <w:b w:val="false"/>
          <w:bCs w:val="false"/>
          <w:i w:val="false"/>
          <w:iCs w:val="false"/>
          <w:sz w:val="24"/>
          <w:szCs w:val="24"/>
        </w:rPr>
        <w:t xml:space="preserve">¿Cómo influyen las narrativas de "Como agua para chocolate", de Laura Esquivel, y "Las travesías", de Gilmer Mesa, en la transformación de las percepciones del rol femenino entre los estudiantes de los grados 9.º y 10.º del Colegio Miguel Antonio Caro, y qué semejanzas y diferencias se evidencian en la representación de sus personajes femeninos?</w:t>
      </w:r>
    </w:p>
    <w:p>
      <w:pPr>
        <w:pStyle w:val="Heading1"/>
        <w:spacing w:after="240" w:before="480"/>
        <w:jc w:val="left"/>
      </w:pPr>
      <w:r>
        <w:rPr>
          <w:rFonts w:ascii="Georgia" w:cs="Georgia" w:eastAsia="Georgia" w:hAnsi="Georgia"/>
          <w:b/>
          <w:bCs/>
          <w:sz w:val="30"/>
          <w:szCs w:val="30"/>
        </w:rPr>
        <w:t xml:space="preserve">Hipótesis</w:t>
      </w:r>
    </w:p>
    <w:p>
      <w:pPr>
        <w:spacing w:after="240" w:before="120" w:line="300"/>
        <w:jc w:val="both"/>
      </w:pPr>
      <w:r>
        <w:rPr>
          <w:rFonts w:ascii="Georgia" w:cs="Georgia" w:eastAsia="Georgia" w:hAnsi="Georgia"/>
          <w:i/>
          <w:iCs/>
          <w:color w:val="555555"/>
          <w:sz w:val="20"/>
          <w:szCs w:val="20"/>
        </w:rPr>
        <w:t xml:space="preserve">Sección redactada en esta versión — no existía contenido desarrollado en las versiones anteriores del documento, solo el encabezado.</w:t>
      </w:r>
    </w:p>
    <w:p>
      <w:pPr>
        <w:spacing w:after="200" w:before="0" w:line="360"/>
        <w:jc w:val="both"/>
      </w:pPr>
      <w:r>
        <w:rPr>
          <w:rFonts w:ascii="Georgia" w:cs="Georgia" w:eastAsia="Georgia" w:hAnsi="Georgia"/>
          <w:b w:val="false"/>
          <w:bCs w:val="false"/>
          <w:i w:val="false"/>
          <w:iCs w:val="false"/>
          <w:sz w:val="24"/>
          <w:szCs w:val="24"/>
        </w:rPr>
        <w:t xml:space="preserve">Se plantea que la representación literaria del rol femenino en "Como agua para chocolate" y "Las travesías" varía de forma significativa según el contexto histórico, social y cultural en el que se inscribe cada obra, y que esta variación se expresa en respuestas distintas de los personajes femeninos frente a la tradición, la autoridad familiar y la violencia estructural: desde la resistencia silenciosa hasta la ruptura abierta. Se espera, además, que estas representaciones guarden puntos de continuidad con las percepciones actuales de los estudiantes de los grados 9.º y 10.º del Colegio Miguel Antonio Caro sobre el rol femenino, en la medida en que ciertos estereotipos y expectativas de género persisten en la actualidad, aun cuando los propios estudiantes reconozcan avances en materia de autonomía e igualdad de género.</w:t>
      </w:r>
    </w:p>
    <w:p>
      <w:pPr>
        <w:pStyle w:val="Heading1"/>
        <w:spacing w:after="240" w:before="480"/>
        <w:jc w:val="left"/>
      </w:pPr>
      <w:r>
        <w:rPr>
          <w:rFonts w:ascii="Georgia" w:cs="Georgia" w:eastAsia="Georgia" w:hAnsi="Georgia"/>
          <w:b/>
          <w:bCs/>
          <w:sz w:val="30"/>
          <w:szCs w:val="30"/>
        </w:rPr>
        <w:t xml:space="preserve">Objetivos</w:t>
      </w:r>
    </w:p>
    <w:p>
      <w:pPr>
        <w:pStyle w:val="Heading2"/>
        <w:spacing w:after="200" w:before="360"/>
      </w:pPr>
      <w:r>
        <w:rPr>
          <w:rFonts w:ascii="Georgia" w:cs="Georgia" w:eastAsia="Georgia" w:hAnsi="Georgia"/>
          <w:b/>
          <w:bCs/>
          <w:sz w:val="26"/>
          <w:szCs w:val="26"/>
        </w:rPr>
        <w:t xml:space="preserve">Objetivo general</w:t>
      </w:r>
    </w:p>
    <w:p>
      <w:pPr>
        <w:spacing w:after="200" w:before="0" w:line="360"/>
        <w:jc w:val="both"/>
      </w:pPr>
      <w:r>
        <w:rPr>
          <w:rFonts w:ascii="Georgia" w:cs="Georgia" w:eastAsia="Georgia" w:hAnsi="Georgia"/>
          <w:b w:val="false"/>
          <w:bCs w:val="false"/>
          <w:i w:val="false"/>
          <w:iCs w:val="false"/>
          <w:sz w:val="24"/>
          <w:szCs w:val="24"/>
        </w:rPr>
        <w:t xml:space="preserve">Analizar la influencia de las narrativas de "Como agua para chocolate", de Laura Esquivel —ambientada en el contexto de la Revolución mexicana—, y de "Las travesías", de Gilmer Mesa —ambientada en el marco de la guerra bipartidista colombiana del siglo XX (Pareja Díaz, 2024, p. 234)—, en la transformación de las percepciones del rol femenino entre los estudiantes de los grados 9.º y 10.º del Colegio Miguel Antonio Caro, a partir de un análisis comparativo de sus elementos simbólicos y culturales.</w:t>
      </w:r>
    </w:p>
    <w:p>
      <w:pPr>
        <w:pStyle w:val="Heading2"/>
        <w:spacing w:after="200" w:before="360"/>
      </w:pPr>
      <w:r>
        <w:rPr>
          <w:rFonts w:ascii="Georgia" w:cs="Georgia" w:eastAsia="Georgia" w:hAnsi="Georgia"/>
          <w:b/>
          <w:bCs/>
          <w:sz w:val="26"/>
          <w:szCs w:val="26"/>
        </w:rPr>
        <w:t xml:space="preserve">Objetivos específicos</w:t>
      </w:r>
    </w:p>
    <w:p>
      <w:pPr>
        <w:spacing w:after="160" w:before="0" w:line="360"/>
        <w:jc w:val="both"/>
      </w:pPr>
      <w:r>
        <w:rPr>
          <w:rFonts w:ascii="Georgia" w:cs="Georgia" w:eastAsia="Georgia" w:hAnsi="Georgia"/>
          <w:b w:val="false"/>
          <w:bCs w:val="false"/>
          <w:i w:val="false"/>
          <w:iCs w:val="false"/>
          <w:sz w:val="24"/>
          <w:szCs w:val="24"/>
        </w:rPr>
        <w:t xml:space="preserve">1. Identificar las trayectorias de los personajes femeninos en "Como agua para chocolate" y en "Las travesías", analizando los desafíos que enfrentan dentro de sus respectivos contextos históricos y su incidencia en la configuración de sus roles.</w:t>
      </w:r>
    </w:p>
    <w:p>
      <w:pPr>
        <w:spacing w:after="160" w:before="0" w:line="360"/>
        <w:jc w:val="both"/>
      </w:pPr>
      <w:r>
        <w:rPr>
          <w:rFonts w:ascii="Georgia" w:cs="Georgia" w:eastAsia="Georgia" w:hAnsi="Georgia"/>
          <w:b w:val="false"/>
          <w:bCs w:val="false"/>
          <w:i w:val="false"/>
          <w:iCs w:val="false"/>
          <w:sz w:val="24"/>
          <w:szCs w:val="24"/>
        </w:rPr>
        <w:t xml:space="preserve">2. Examinar los símbolos culturales y los elementos narrativos que ambas obras emplean para redefinir la identidad femenina, estableciendo semejanzas y diferencias entre las dos representaciones.</w:t>
      </w:r>
    </w:p>
    <w:p>
      <w:pPr>
        <w:spacing w:after="200" w:before="0" w:line="360"/>
        <w:jc w:val="both"/>
      </w:pPr>
      <w:r>
        <w:rPr>
          <w:rFonts w:ascii="Georgia" w:cs="Georgia" w:eastAsia="Georgia" w:hAnsi="Georgia"/>
          <w:b w:val="false"/>
          <w:bCs w:val="false"/>
          <w:i w:val="false"/>
          <w:iCs w:val="false"/>
          <w:sz w:val="24"/>
          <w:szCs w:val="24"/>
        </w:rPr>
        <w:t xml:space="preserve">3. Relacionar las representaciones del rol femenino identificadas en el análisis comparativo de ambas obras con las percepciones de los estudiantes de los grados 9.º y 10.º del Colegio Miguel Antonio Caro, mediante la aplicación de una encuesta que permita contrastar la literatura con la mirada actual de esta población.</w:t>
      </w:r>
    </w:p>
    <w:p>
      <w:pPr>
        <w:pStyle w:val="Heading1"/>
        <w:spacing w:after="240" w:before="480"/>
        <w:jc w:val="left"/>
      </w:pPr>
      <w:r>
        <w:rPr>
          <w:rFonts w:ascii="Georgia" w:cs="Georgia" w:eastAsia="Georgia" w:hAnsi="Georgia"/>
          <w:b/>
          <w:bCs/>
          <w:sz w:val="30"/>
          <w:szCs w:val="30"/>
        </w:rPr>
        <w:t xml:space="preserve">Objetivos de Desarrollo Sostenible</w:t>
      </w:r>
    </w:p>
    <w:p>
      <w:pPr>
        <w:spacing w:after="200" w:before="0" w:line="360"/>
        <w:jc w:val="both"/>
      </w:pPr>
      <w:r>
        <w:rPr>
          <w:rFonts w:ascii="Georgia" w:cs="Georgia" w:eastAsia="Georgia" w:hAnsi="Georgia"/>
          <w:b w:val="false"/>
          <w:bCs w:val="false"/>
          <w:i w:val="false"/>
          <w:iCs w:val="false"/>
          <w:sz w:val="24"/>
          <w:szCs w:val="24"/>
        </w:rPr>
        <w:t xml:space="preserve">Los Objetivos de Desarrollo Sostenible (ODS), también conocidos como Objetivos Globales, fueron adoptados por las Naciones Unidas en 2015 como un llamamiento universal para poner fin a la pobreza, proteger el planeta y garantizar que para el 2030 todas las personas disfruten de paz y prosperidad (Naciones Unidas, 2015). Los objetivos que respaldan esta monografía son:</w:t>
      </w:r>
    </w:p>
    <w:p>
      <w:pPr>
        <w:pStyle w:val="Heading2"/>
        <w:spacing w:after="200" w:before="360"/>
      </w:pPr>
      <w:r>
        <w:rPr>
          <w:rFonts w:ascii="Georgia" w:cs="Georgia" w:eastAsia="Georgia" w:hAnsi="Georgia"/>
          <w:b/>
          <w:bCs/>
          <w:sz w:val="26"/>
          <w:szCs w:val="26"/>
        </w:rPr>
        <w:t xml:space="preserve">ODS 4: Educación de calidad</w:t>
      </w:r>
    </w:p>
    <w:p>
      <w:pPr>
        <w:spacing w:after="200" w:before="0" w:line="360"/>
        <w:jc w:val="both"/>
      </w:pPr>
      <w:r>
        <w:rPr>
          <w:rFonts w:ascii="Georgia" w:cs="Georgia" w:eastAsia="Georgia" w:hAnsi="Georgia"/>
          <w:b w:val="false"/>
          <w:bCs w:val="false"/>
          <w:i w:val="false"/>
          <w:iCs w:val="false"/>
          <w:sz w:val="24"/>
          <w:szCs w:val="24"/>
        </w:rPr>
        <w:t xml:space="preserve">Mediante este objetivo, que busca garantizar la educación de calidad, se pretende fortalecer la reflexión de los estudiantes frente a la construcción del rol de la mujer y su impacto en la sociedad actual.</w:t>
      </w:r>
    </w:p>
    <w:p>
      <w:pPr>
        <w:pStyle w:val="Heading2"/>
        <w:spacing w:after="200" w:before="360"/>
      </w:pPr>
      <w:r>
        <w:rPr>
          <w:rFonts w:ascii="Georgia" w:cs="Georgia" w:eastAsia="Georgia" w:hAnsi="Georgia"/>
          <w:b/>
          <w:bCs/>
          <w:sz w:val="26"/>
          <w:szCs w:val="26"/>
        </w:rPr>
        <w:t xml:space="preserve">ODS 5: Igualdad de género</w:t>
      </w:r>
    </w:p>
    <w:p>
      <w:pPr>
        <w:spacing w:after="200" w:before="0" w:line="360"/>
        <w:jc w:val="both"/>
      </w:pPr>
      <w:r>
        <w:rPr>
          <w:rFonts w:ascii="Georgia" w:cs="Georgia" w:eastAsia="Georgia" w:hAnsi="Georgia"/>
          <w:b w:val="false"/>
          <w:bCs w:val="false"/>
          <w:i w:val="false"/>
          <w:iCs w:val="false"/>
          <w:sz w:val="24"/>
          <w:szCs w:val="24"/>
        </w:rPr>
        <w:t xml:space="preserve">Es importante ya que busca lograr la igualdad de género y empoderar a todas las mujeres y niñas para el 2030, eliminando la discriminación y la violencia.</w:t>
      </w:r>
    </w:p>
    <w:p>
      <w:pPr>
        <w:pStyle w:val="Heading1"/>
        <w:spacing w:after="240" w:before="480"/>
        <w:jc w:val="left"/>
      </w:pPr>
      <w:r>
        <w:rPr>
          <w:rFonts w:ascii="Georgia" w:cs="Georgia" w:eastAsia="Georgia" w:hAnsi="Georgia"/>
          <w:b/>
          <w:bCs/>
          <w:sz w:val="30"/>
          <w:szCs w:val="30"/>
        </w:rPr>
        <w:t xml:space="preserve">Enfoque</w:t>
      </w:r>
    </w:p>
    <w:p>
      <w:pPr>
        <w:spacing w:after="200" w:before="0" w:line="360"/>
        <w:jc w:val="both"/>
      </w:pPr>
      <w:r>
        <w:rPr>
          <w:rFonts w:ascii="Georgia" w:cs="Georgia" w:eastAsia="Georgia" w:hAnsi="Georgia"/>
          <w:b w:val="false"/>
          <w:bCs w:val="false"/>
          <w:i w:val="false"/>
          <w:iCs w:val="false"/>
          <w:sz w:val="24"/>
          <w:szCs w:val="24"/>
        </w:rPr>
        <w:t xml:space="preserve">La presente investigación tendrá un enfoque mixto, debido a que combinará elementos cualitativos y cuantitativos para lograr una comprensión más amplia del problema planteado. Desde el enfoque cualitativo, se realizará el análisis y la comparación de las obras "Como agua para chocolate", de Laura Esquivel, y "Las travesías", de Gilmer Mesa, teniendo en cuenta aspectos relacionados con la construcción de los personajes femeninos, como la autonomía, la identidad, las relaciones familiares y sociales, los estereotipos de género y la toma de decisiones.</w:t>
      </w:r>
    </w:p>
    <w:p>
      <w:pPr>
        <w:spacing w:after="200" w:before="0" w:line="360"/>
        <w:jc w:val="both"/>
      </w:pPr>
      <w:r>
        <w:rPr>
          <w:rFonts w:ascii="Georgia" w:cs="Georgia" w:eastAsia="Georgia" w:hAnsi="Georgia"/>
          <w:b w:val="false"/>
          <w:bCs w:val="false"/>
          <w:i w:val="false"/>
          <w:iCs w:val="false"/>
          <w:sz w:val="24"/>
          <w:szCs w:val="24"/>
        </w:rPr>
        <w:t xml:space="preserve">Por otro lado, el enfoque cuantitativo se desarrollará mediante la aplicación de una encuesta a estudiantes, con el propósito de conocer sus percepciones sobre la representación de la mujer en la literatura y sobre algunas de las situaciones presentes en las obras seleccionadas. Los resultados de la encuesta serán organizados mediante porcentajes, tablas y gráficos, lo que permitirá identificar tendencias y comparar las diferentes respuestas.</w:t>
      </w:r>
    </w:p>
    <w:p>
      <w:pPr>
        <w:spacing w:after="200" w:before="0" w:line="360"/>
        <w:jc w:val="both"/>
      </w:pPr>
      <w:r>
        <w:rPr>
          <w:rFonts w:ascii="Georgia" w:cs="Georgia" w:eastAsia="Georgia" w:hAnsi="Georgia"/>
          <w:b w:val="false"/>
          <w:bCs w:val="false"/>
          <w:i w:val="false"/>
          <w:iCs w:val="false"/>
          <w:sz w:val="24"/>
          <w:szCs w:val="24"/>
        </w:rPr>
        <w:t xml:space="preserve">La combinación de ambos enfoques permitirá relacionar el análisis de las obras con las percepciones de los estudiantes, obteniendo una visión más completa sobre la representación del rol femenino y su posible relación con la manera en que este es percibido en la actualidad.</w:t>
      </w:r>
    </w:p>
    <w:p>
      <w:r>
        <w:br w:type="page"/>
      </w:r>
    </w:p>
    <w:p>
      <w:pPr>
        <w:pStyle w:val="Heading1"/>
        <w:spacing w:after="240" w:before="480"/>
        <w:jc w:val="left"/>
      </w:pPr>
      <w:r>
        <w:rPr>
          <w:rFonts w:ascii="Georgia" w:cs="Georgia" w:eastAsia="Georgia" w:hAnsi="Georgia"/>
          <w:b/>
          <w:bCs/>
          <w:sz w:val="30"/>
          <w:szCs w:val="30"/>
        </w:rPr>
        <w:t xml:space="preserve">Marco teórico</w:t>
      </w:r>
    </w:p>
    <w:p>
      <w:pPr>
        <w:spacing w:after="240" w:before="120" w:line="300"/>
        <w:jc w:val="both"/>
      </w:pPr>
      <w:r>
        <w:rPr>
          <w:rFonts w:ascii="Georgia" w:cs="Georgia" w:eastAsia="Georgia" w:hAnsi="Georgia"/>
          <w:i/>
          <w:iCs/>
          <w:color w:val="555555"/>
          <w:sz w:val="20"/>
          <w:szCs w:val="20"/>
        </w:rPr>
        <w:t xml:space="preserve">Sección redactada por completo en esta versión. La plantilla anterior conservaba en este lugar un ejemplo sobre maltrato animal, ajeno al tema de la monografía, que se elimina en esta versión.</w:t>
      </w:r>
    </w:p>
    <w:p>
      <w:pPr>
        <w:pStyle w:val="Heading2"/>
        <w:spacing w:after="200" w:before="360"/>
      </w:pPr>
      <w:r>
        <w:rPr>
          <w:rFonts w:ascii="Georgia" w:cs="Georgia" w:eastAsia="Georgia" w:hAnsi="Georgia"/>
          <w:b/>
          <w:bCs/>
          <w:sz w:val="26"/>
          <w:szCs w:val="26"/>
        </w:rPr>
        <w:t xml:space="preserve">1. El rol femenino como construcción social e histórica</w:t>
      </w:r>
    </w:p>
    <w:p>
      <w:pPr>
        <w:spacing w:after="200" w:before="0" w:line="360"/>
        <w:jc w:val="both"/>
      </w:pPr>
      <w:r>
        <w:rPr>
          <w:rFonts w:ascii="Georgia" w:cs="Georgia" w:eastAsia="Georgia" w:hAnsi="Georgia"/>
          <w:b w:val="false"/>
          <w:bCs w:val="false"/>
          <w:i w:val="false"/>
          <w:iCs w:val="false"/>
          <w:sz w:val="24"/>
          <w:szCs w:val="24"/>
        </w:rPr>
        <w:t xml:space="preserve">El marco teórico central de esta monografía parte de la tesis constructivista de Simone de Beauvoir (1949) en "El segundo sexo": "No se nace mujer: se llega a serlo" (p. 109). Esta afirmación sostiene que el papel femenino no responde a un destino biológico, psíquico o económico fijo, sino que es "el conjunto de la civilización" el que elabora la figura que la mujer reviste en el seno de la sociedad. Beauvoir (1949) sitúa además esta construcción en una relación histórica de desigualdad: "la mujer siempre ha sido, si no la esclava del hombre, al menos su vasalla; los dos sexos jamás han compartido el mundo en pie de igualdad" (p. 7).</w:t>
      </w:r>
    </w:p>
    <w:p>
      <w:pPr>
        <w:spacing w:after="200" w:before="0" w:line="360"/>
        <w:jc w:val="both"/>
      </w:pPr>
      <w:r>
        <w:rPr>
          <w:rFonts w:ascii="Georgia" w:cs="Georgia" w:eastAsia="Georgia" w:hAnsi="Georgia"/>
          <w:b w:val="false"/>
          <w:bCs w:val="false"/>
          <w:i w:val="false"/>
          <w:iCs w:val="false"/>
          <w:sz w:val="24"/>
          <w:szCs w:val="24"/>
        </w:rPr>
        <w:t xml:space="preserve">Esta misma tesis se confirma desde la historiografía contemporánea. Rondón González (2026) sostiene que la historiografía tradicional "ha funcionado como un espejo deformado que refleja principalmente las experiencias de aquellos que ostentaban el poder político, económico y cultural", relegando a las mujeres a los márgenes del relato histórico. La autora cuestiona explícitamente "uno de los mitos más persistentes en la historiografía occidental": la idea de que la dominación masculina es "un fenómeno universal y atemporal". Tomadas en conjunto, ambas fuentes —una desde la filosofía, la otra desde la historiografía— permiten sostener que las jerarquías de género representadas en "Como agua para chocolate" y "Las travesías" no deben leerse como rasgos naturales o inevitables de sus personajes, sino como construcciones históricas específicas, propias de cada contexto narrado.</w:t>
      </w:r>
    </w:p>
    <w:p>
      <w:pPr>
        <w:pStyle w:val="Heading2"/>
        <w:spacing w:after="200" w:before="360"/>
      </w:pPr>
      <w:r>
        <w:rPr>
          <w:rFonts w:ascii="Georgia" w:cs="Georgia" w:eastAsia="Georgia" w:hAnsi="Georgia"/>
          <w:b/>
          <w:bCs/>
          <w:sz w:val="26"/>
          <w:szCs w:val="26"/>
        </w:rPr>
        <w:t xml:space="preserve">2. Símbolos y espacios de la representación femenina en la narrativa</w:t>
      </w:r>
    </w:p>
    <w:p>
      <w:pPr>
        <w:spacing w:after="200" w:before="0" w:line="360"/>
        <w:jc w:val="both"/>
      </w:pPr>
      <w:r>
        <w:rPr>
          <w:rFonts w:ascii="Georgia" w:cs="Georgia" w:eastAsia="Georgia" w:hAnsi="Georgia"/>
          <w:b w:val="false"/>
          <w:bCs w:val="false"/>
          <w:i w:val="false"/>
          <w:iCs w:val="false"/>
          <w:sz w:val="24"/>
          <w:szCs w:val="24"/>
        </w:rPr>
        <w:t xml:space="preserve">Para el análisis comparativo de los personajes femeninos, esta monografía retoma dos marcos simbólicos específicos, aplicables de manera directa a "Como agua para chocolate".</w:t>
      </w:r>
    </w:p>
    <w:p>
      <w:pPr>
        <w:spacing w:after="200" w:before="0" w:line="360"/>
        <w:jc w:val="both"/>
      </w:pPr>
      <w:r>
        <w:rPr>
          <w:rFonts w:ascii="Georgia" w:cs="Georgia" w:eastAsia="Georgia" w:hAnsi="Georgia"/>
          <w:b w:val="false"/>
          <w:bCs w:val="false"/>
          <w:i w:val="false"/>
          <w:iCs w:val="false"/>
          <w:sz w:val="24"/>
          <w:szCs w:val="24"/>
        </w:rPr>
        <w:t xml:space="preserve">En primer lugar, Ciplijauskaité (1986) propone el concepto del "espejo de las generaciones": la imagen recurrente del espejo en la narrativa femenina contemporánea como símbolo de continuidad y cambio entre generaciones de mujeres —madre, hija, abuela—. La autora distingue, entre otras, la función del "espejo positivo", que refleja la actitud tradicional: la hija ve en la madre y en la abuela un modelo y acepta el destino que le impone la familia y la sociedad. Este marco encaja de manera directa con el patrón de cuatro generaciones identificado en "Como agua para chocolate": Mamá Elena reproduce sobre sus hijas la misma tradición de matrimonio forzado y control familiar que ella padeció de joven; Rosaura defiende y reproduce esa tradición hasta la muerte; Tita la resiste desde el silencio; y Esperanza, en la generación siguiente, finalmente la rompe.</w:t>
      </w:r>
    </w:p>
    <w:p>
      <w:pPr>
        <w:spacing w:after="200" w:before="0" w:line="360"/>
        <w:jc w:val="both"/>
      </w:pPr>
      <w:r>
        <w:rPr>
          <w:rFonts w:ascii="Georgia" w:cs="Georgia" w:eastAsia="Georgia" w:hAnsi="Georgia"/>
          <w:b w:val="false"/>
          <w:bCs w:val="false"/>
          <w:i w:val="false"/>
          <w:iCs w:val="false"/>
          <w:sz w:val="24"/>
          <w:szCs w:val="24"/>
        </w:rPr>
        <w:t xml:space="preserve">En segundo lugar, Guerra (s. f.) analiza "las topografías de la casa como matriz transgresiva en la narrativa de la mujer latinoamericana", partiendo del mito de Penélope: la casa como espacio asociado a lo femenino, extensión del espacio uterino y lugar de reclusión, en el que la mujer teje y desteje mientras el hombre viaja y regresa. Este marco se aplica de forma directa al rancho de la familia De la Garza en "Como agua para chocolate", y en particular a la cocina, espacio al que Tita queda relegada por la tradición familiar y que, paradójicamente, se convierte en el único canal disponible para expresar lo que le está prohibido decir o hacer directamente.</w:t>
      </w:r>
    </w:p>
    <w:p>
      <w:pPr>
        <w:pStyle w:val="Heading2"/>
        <w:spacing w:after="200" w:before="360"/>
      </w:pPr>
      <w:r>
        <w:rPr>
          <w:rFonts w:ascii="Georgia" w:cs="Georgia" w:eastAsia="Georgia" w:hAnsi="Georgia"/>
          <w:b/>
          <w:bCs/>
          <w:sz w:val="26"/>
          <w:szCs w:val="26"/>
        </w:rPr>
        <w:t xml:space="preserve">3. Escritura femenina y crítica literaria feminista</w:t>
      </w:r>
    </w:p>
    <w:p>
      <w:pPr>
        <w:spacing w:after="200" w:before="0" w:line="360"/>
        <w:jc w:val="both"/>
      </w:pPr>
      <w:r>
        <w:rPr>
          <w:rFonts w:ascii="Georgia" w:cs="Georgia" w:eastAsia="Georgia" w:hAnsi="Georgia"/>
          <w:b w:val="false"/>
          <w:bCs w:val="false"/>
          <w:i w:val="false"/>
          <w:iCs w:val="false"/>
          <w:sz w:val="24"/>
          <w:szCs w:val="24"/>
        </w:rPr>
        <w:t xml:space="preserve">Como marco complementario sobre la escritura femenina en general, se retoma el concepto de "escritura en blanco" —heredado de la écriture féminine de Hélène Cixous—, entendido como la escritura desde la experiencia y el cuerpo femenino, no desde una neutralidad masculina asumida como universal, presente en la literatura latinoamericana escrita por mujeres desde mediados del siglo XX. En la misma línea, Quintana Mendoza (2026) distingue entre "escritura femenina" y "escritura feminista", y recorre las distintas generaciones —"olas"— de la crítica literaria feminista contemporánea, marco útil para precisar en qué sentido "Como agua para chocolate" y "Las travesías" pueden leerse como literatura que representa, sin necesariamente militar, la condición femenina de sus personajes. Como referencia metodológica adicional para el análisis de símbolos ligados a lo femenino en la narrativa, se retoma también el trabajo de Moreno Trujillo (2016) sobre los símbolos de lo femenino en la narrativa distópica, que plantea que dichos símbolos "dinamizan la posibilidad de la resistencia" dentro de estructuras opresivas —un principio aplicable, salvando las distancias de género narrativo, al realismo mágico de "Como agua para chocolate", donde la cocina permite a Tita una forma de agencia dentro de su reclusión.</w:t>
      </w:r>
    </w:p>
    <w:p>
      <w:pPr>
        <w:pStyle w:val="Heading2"/>
        <w:spacing w:after="200" w:before="360"/>
      </w:pPr>
      <w:r>
        <w:rPr>
          <w:rFonts w:ascii="Georgia" w:cs="Georgia" w:eastAsia="Georgia" w:hAnsi="Georgia"/>
          <w:b/>
          <w:bCs/>
          <w:sz w:val="26"/>
          <w:szCs w:val="26"/>
        </w:rPr>
        <w:t xml:space="preserve">4. Violencia de género y contexto colombiano en la narrativa</w:t>
      </w:r>
    </w:p>
    <w:p>
      <w:pPr>
        <w:spacing w:after="200" w:before="0" w:line="360"/>
        <w:jc w:val="both"/>
      </w:pPr>
      <w:r>
        <w:rPr>
          <w:rFonts w:ascii="Georgia" w:cs="Georgia" w:eastAsia="Georgia" w:hAnsi="Georgia"/>
          <w:b w:val="false"/>
          <w:bCs w:val="false"/>
          <w:i w:val="false"/>
          <w:iCs w:val="false"/>
          <w:sz w:val="24"/>
          <w:szCs w:val="24"/>
        </w:rPr>
        <w:t xml:space="preserve">Para el análisis de "Las travesías", cuyo eje narrativo recorre casi un siglo de conflicto político colombiano —de las guerras liberal-conservadoras a la masacre de El Aro (Antioquia, 1997)—, resulta pertinente el marco de la literatura colombiana contemporánea sobre violencia de género. Delgado Ricci (2021) analiza cómo la literatura de crímenes en Colombia, tradicionalmente dominada por escritores hombres, solo en la última década ha incorporado la violencia contra la mujer "con una voz fuerte y crítica". En la misma línea, Cardona González y Londoño Garzón (2026) proponen el concepto de "cicatrices sociales" para referirse a las huellas colectivas y duraderas que la violencia prolongada deja en el tejido comunitario, más allá de las víctimas directas —concepto directamente aplicable a la violencia sexual y política representada en "Las travesías" (la violación y el asesinato de Raquel, la mutilación de las hijas de Carmela, la locura de Carolina como respuesta al trauma acumulado).</w:t>
      </w:r>
    </w:p>
    <w:p>
      <w:pPr>
        <w:spacing w:after="200" w:before="0" w:line="360"/>
        <w:jc w:val="both"/>
      </w:pPr>
      <w:r>
        <w:rPr>
          <w:rFonts w:ascii="Georgia" w:cs="Georgia" w:eastAsia="Georgia" w:hAnsi="Georgia"/>
          <w:b w:val="false"/>
          <w:bCs w:val="false"/>
          <w:i w:val="false"/>
          <w:iCs w:val="false"/>
          <w:sz w:val="24"/>
          <w:szCs w:val="24"/>
        </w:rPr>
        <w:t xml:space="preserve">Como referencia testimonial directa, complementaria a la representación literaria, se retoma también el trabajo de Gallego López (2026) sobre las narrativas y experiencias de mujeres campesinas frente al conflicto armado en el municipio de Santuario, Risaralda, que documenta formas diferenciadas de violencia —incluida la violencia sexual— sufridas por mujeres en contextos de conflicto armado colombiano análogos, en su lógica estructural, al representado en "Las travesías".</w:t>
      </w:r>
    </w:p>
    <w:p>
      <w:pPr>
        <w:pStyle w:val="Heading2"/>
        <w:spacing w:after="200" w:before="360"/>
      </w:pPr>
      <w:r>
        <w:rPr>
          <w:rFonts w:ascii="Georgia" w:cs="Georgia" w:eastAsia="Georgia" w:hAnsi="Georgia"/>
          <w:b/>
          <w:bCs/>
          <w:sz w:val="26"/>
          <w:szCs w:val="26"/>
        </w:rPr>
        <w:t xml:space="preserve">5. Marco de referencia para el componente cuantitativo</w:t>
      </w:r>
    </w:p>
    <w:p>
      <w:pPr>
        <w:spacing w:after="200" w:before="0" w:line="360"/>
        <w:jc w:val="both"/>
      </w:pPr>
      <w:r>
        <w:rPr>
          <w:rFonts w:ascii="Georgia" w:cs="Georgia" w:eastAsia="Georgia" w:hAnsi="Georgia"/>
          <w:b w:val="false"/>
          <w:bCs w:val="false"/>
          <w:i w:val="false"/>
          <w:iCs w:val="false"/>
          <w:sz w:val="24"/>
          <w:szCs w:val="24"/>
        </w:rPr>
        <w:t xml:space="preserve">Finalmente, como contexto para el diseño de la encuesta dirigida a los estudiantes de los grados 9.º y 10.º del Colegio Miguel Antonio Caro, se retoman dos revisiones recientes sobre violencia de género en el ámbito educativo: Rodríguez Hernández y Rodríguez Barraza (2021), centrada en instituciones de educación superior en México, y Penilla Quintero (2026), centrada en el contexto colombiano. Ambas revisiones documentan cómo los roles de género tradicionales continúan operando dentro de las estructuras educativas contemporáneas, lo cual respalda la pertinencia de indagar, mediante la encuesta, las percepciones actuales de los estudiantes sobre el rol femenino, en diálogo con las representaciones literarias analizadas en esta monografía.</w:t>
      </w:r>
    </w:p>
    <w:p>
      <w:pPr>
        <w:pStyle w:val="Heading1"/>
        <w:spacing w:after="240" w:before="480"/>
        <w:jc w:val="left"/>
      </w:pPr>
      <w:r>
        <w:rPr>
          <w:rFonts w:ascii="Georgia" w:cs="Georgia" w:eastAsia="Georgia" w:hAnsi="Georgia"/>
          <w:b/>
          <w:bCs/>
          <w:sz w:val="30"/>
          <w:szCs w:val="30"/>
        </w:rPr>
        <w:t xml:space="preserve">Alcances y límites</w:t>
      </w:r>
    </w:p>
    <w:p>
      <w:pPr>
        <w:spacing w:after="240" w:before="120" w:line="300"/>
        <w:jc w:val="both"/>
      </w:pPr>
      <w:r>
        <w:rPr>
          <w:rFonts w:ascii="Georgia" w:cs="Georgia" w:eastAsia="Georgia" w:hAnsi="Georgia"/>
          <w:i/>
          <w:iCs/>
          <w:color w:val="555555"/>
          <w:sz w:val="20"/>
          <w:szCs w:val="20"/>
        </w:rPr>
        <w:t xml:space="preserve">Sección redactada en esta versión — no existía contenido desarrollado en las versiones anteriores del documento, solo el encabezado.</w:t>
      </w:r>
    </w:p>
    <w:p>
      <w:pPr>
        <w:pStyle w:val="Heading2"/>
        <w:spacing w:after="200" w:before="360"/>
      </w:pPr>
      <w:r>
        <w:rPr>
          <w:rFonts w:ascii="Georgia" w:cs="Georgia" w:eastAsia="Georgia" w:hAnsi="Georgia"/>
          <w:b/>
          <w:bCs/>
          <w:sz w:val="26"/>
          <w:szCs w:val="26"/>
        </w:rPr>
        <w:t xml:space="preserve">Alcances</w:t>
      </w:r>
    </w:p>
    <w:p>
      <w:pPr>
        <w:spacing w:after="200" w:before="0" w:line="360"/>
        <w:jc w:val="both"/>
      </w:pPr>
      <w:r>
        <w:rPr>
          <w:rFonts w:ascii="Georgia" w:cs="Georgia" w:eastAsia="Georgia" w:hAnsi="Georgia"/>
          <w:b w:val="false"/>
          <w:bCs w:val="false"/>
          <w:i w:val="false"/>
          <w:iCs w:val="false"/>
          <w:sz w:val="24"/>
          <w:szCs w:val="24"/>
        </w:rPr>
        <w:t xml:space="preserve">Esta investigación alcanza a realizar un análisis comparativo cualitativo de la representación del rol femenino en dos obras literarias completas —"Como agua para chocolate" y "Las travesías"—, apoyado en un marco teórico con respaldo bibliográfico académico, y a contrastar dicho análisis con las percepciones de una población específica (estudiantes de los grados 9.º y 10.º del Colegio Miguel Antonio Caro) mediante una encuesta. El estudio contribuye, en ese sentido, a los Objetivos de Desarrollo Sostenible 4 y 5, al fortalecer la reflexión de los estudiantes sobre la construcción histórica del rol femenino.</w:t>
      </w:r>
    </w:p>
    <w:p>
      <w:pPr>
        <w:pStyle w:val="Heading2"/>
        <w:spacing w:after="200" w:before="360"/>
      </w:pPr>
      <w:r>
        <w:rPr>
          <w:rFonts w:ascii="Georgia" w:cs="Georgia" w:eastAsia="Georgia" w:hAnsi="Georgia"/>
          <w:b/>
          <w:bCs/>
          <w:sz w:val="26"/>
          <w:szCs w:val="26"/>
        </w:rPr>
        <w:t xml:space="preserve">Límites</w:t>
      </w:r>
    </w:p>
    <w:p>
      <w:pPr>
        <w:spacing w:after="200" w:before="0" w:line="360"/>
        <w:jc w:val="both"/>
      </w:pPr>
      <w:r>
        <w:rPr>
          <w:rFonts w:ascii="Georgia" w:cs="Georgia" w:eastAsia="Georgia" w:hAnsi="Georgia"/>
          <w:b w:val="false"/>
          <w:bCs w:val="false"/>
          <w:i w:val="false"/>
          <w:iCs w:val="false"/>
          <w:sz w:val="24"/>
          <w:szCs w:val="24"/>
        </w:rPr>
        <w:t xml:space="preserve">Los resultados de esta investigación no son generalizables más allá de la población encuestada, dado el carácter específico y no probabilístico de la muestra. El análisis se limita a dos obras entre las muchas posibles que abordan el rol femenino en la literatura contemporánea, seleccionadas por su valor comparativo y no por representatividad estadística del fenómeno literario. Asimismo, persisten vacíos documentales sobre algunas de las fuentes primarias y secundarias citadas: no fue posible identificar la editorial y el traductor de la edición consultada de "El segundo sexo", ni el año y la editorial de la edición consultada de "Como agua para chocolate"; estos datos deberán completarse antes de la entrega final de la monografía.</w:t>
      </w:r>
    </w:p>
    <w:p>
      <w:pPr>
        <w:pStyle w:val="Heading1"/>
        <w:spacing w:after="240" w:before="480"/>
        <w:jc w:val="left"/>
      </w:pPr>
      <w:r>
        <w:rPr>
          <w:rFonts w:ascii="Georgia" w:cs="Georgia" w:eastAsia="Georgia" w:hAnsi="Georgia"/>
          <w:b/>
          <w:bCs/>
          <w:sz w:val="30"/>
          <w:szCs w:val="30"/>
        </w:rPr>
        <w:t xml:space="preserve">Bibliografía</w:t>
      </w:r>
    </w:p>
    <w:p>
      <w:pPr>
        <w:spacing w:after="200" w:line="300"/>
        <w:ind w:left="720" w:hanging="720"/>
        <w:jc w:val="both"/>
      </w:pPr>
      <w:r>
        <w:rPr>
          <w:rFonts w:ascii="Georgia" w:cs="Georgia" w:eastAsia="Georgia" w:hAnsi="Georgia"/>
          <w:sz w:val="22"/>
          <w:szCs w:val="22"/>
        </w:rPr>
        <w:t xml:space="preserve">Beauvoir, S. de. (1949). El segundo sexo [Archivo PDF; editorial y traductor no identificados en el archivo consultado].</w:t>
      </w:r>
    </w:p>
    <w:p>
      <w:pPr>
        <w:spacing w:after="200" w:line="300"/>
        <w:ind w:left="720" w:hanging="720"/>
        <w:jc w:val="both"/>
      </w:pPr>
      <w:r>
        <w:rPr>
          <w:rFonts w:ascii="Georgia" w:cs="Georgia" w:eastAsia="Georgia" w:hAnsi="Georgia"/>
          <w:sz w:val="22"/>
          <w:szCs w:val="22"/>
        </w:rPr>
        <w:t xml:space="preserve">Cardona González, S. Y., y Londoño Garzón, A. (2026). Cicatrices sociales en la novela "Los Divinos" de Laura Restrepo: una mirada a la fragilidad y la violencia contra las mujeres y niñas colombianas. Revista Internacional de Culturas y Literaturas, (29), 232–241. https://dx.doi.org/10.12795/RICL.2026.i29.06</w:t>
      </w:r>
    </w:p>
    <w:p>
      <w:pPr>
        <w:spacing w:after="200" w:line="300"/>
        <w:ind w:left="720" w:hanging="720"/>
        <w:jc w:val="both"/>
      </w:pPr>
      <w:r>
        <w:rPr>
          <w:rFonts w:ascii="Georgia" w:cs="Georgia" w:eastAsia="Georgia" w:hAnsi="Georgia"/>
          <w:sz w:val="22"/>
          <w:szCs w:val="22"/>
        </w:rPr>
        <w:t xml:space="preserve">Ciplijauskaité, B. (1986). El "espejo de las generaciones" en la narrativa femenina contemporánea. En Actas IX del Congreso de la Asociación Internacional de Hispanistas (AIH). University of Wisconsin, Madison.</w:t>
      </w:r>
    </w:p>
    <w:p>
      <w:pPr>
        <w:spacing w:after="200" w:line="300"/>
        <w:ind w:left="720" w:hanging="720"/>
        <w:jc w:val="both"/>
      </w:pPr>
      <w:r>
        <w:rPr>
          <w:rFonts w:ascii="Georgia" w:cs="Georgia" w:eastAsia="Georgia" w:hAnsi="Georgia"/>
          <w:sz w:val="22"/>
          <w:szCs w:val="22"/>
        </w:rPr>
        <w:t xml:space="preserve">Delgado Ricci, M. del M. (2021). Literatura de crímenes femenina y feminista en Colombia: cuerpo de mujer, misoginia y patriarcado a través de Laura Restrepo y Melba Escobar. Telar, 26, 143–161.</w:t>
      </w:r>
    </w:p>
    <w:p>
      <w:pPr>
        <w:spacing w:after="200" w:line="300"/>
        <w:ind w:left="720" w:hanging="720"/>
        <w:jc w:val="both"/>
      </w:pPr>
      <w:r>
        <w:rPr>
          <w:rFonts w:ascii="Georgia" w:cs="Georgia" w:eastAsia="Georgia" w:hAnsi="Georgia"/>
          <w:sz w:val="22"/>
          <w:szCs w:val="22"/>
        </w:rPr>
        <w:t xml:space="preserve">Esquivel, L. (s. f.). Como agua para chocolate [Archivo PDF; año y editorial no identificados en el archivo consultado].</w:t>
      </w:r>
    </w:p>
    <w:p>
      <w:pPr>
        <w:spacing w:after="200" w:line="300"/>
        <w:ind w:left="720" w:hanging="720"/>
        <w:jc w:val="both"/>
      </w:pPr>
      <w:r>
        <w:rPr>
          <w:rFonts w:ascii="Georgia" w:cs="Georgia" w:eastAsia="Georgia" w:hAnsi="Georgia"/>
          <w:sz w:val="22"/>
          <w:szCs w:val="22"/>
        </w:rPr>
        <w:t xml:space="preserve">Gallego López, N. A. (2026). Narrativas y experiencias frente al conflicto armado de las mujeres campesinas y las personas con identidades de género diversas en el municipio de Santuario, Risaralda [Trabajo de grado, Licenciatura en Ciencias Sociales, Universidad Tecnológica de Pereira].</w:t>
      </w:r>
    </w:p>
    <w:p>
      <w:pPr>
        <w:spacing w:after="200" w:line="300"/>
        <w:ind w:left="720" w:hanging="720"/>
        <w:jc w:val="both"/>
      </w:pPr>
      <w:r>
        <w:rPr>
          <w:rFonts w:ascii="Georgia" w:cs="Georgia" w:eastAsia="Georgia" w:hAnsi="Georgia"/>
          <w:sz w:val="22"/>
          <w:szCs w:val="22"/>
        </w:rPr>
        <w:t xml:space="preserve">Guerra, L. (s. f.). Las topografías de la casa como matriz transgresiva en la narrativa de la mujer latinoamericana [Editorial y año no identificados en el archivo consultado].</w:t>
      </w:r>
    </w:p>
    <w:p>
      <w:pPr>
        <w:spacing w:after="200" w:line="300"/>
        <w:ind w:left="720" w:hanging="720"/>
        <w:jc w:val="both"/>
      </w:pPr>
      <w:r>
        <w:rPr>
          <w:rFonts w:ascii="Georgia" w:cs="Georgia" w:eastAsia="Georgia" w:hAnsi="Georgia"/>
          <w:sz w:val="22"/>
          <w:szCs w:val="22"/>
        </w:rPr>
        <w:t xml:space="preserve">Mesa, G. (2021). Las travesías. Penguin Random House.</w:t>
      </w:r>
    </w:p>
    <w:p>
      <w:pPr>
        <w:spacing w:after="200" w:line="300"/>
        <w:ind w:left="720" w:hanging="720"/>
        <w:jc w:val="both"/>
      </w:pPr>
      <w:r>
        <w:rPr>
          <w:rFonts w:ascii="Georgia" w:cs="Georgia" w:eastAsia="Georgia" w:hAnsi="Georgia"/>
          <w:sz w:val="22"/>
          <w:szCs w:val="22"/>
        </w:rPr>
        <w:t xml:space="preserve">Moreno Trujillo, M. P. (2016). El cuento de la criada, los símbolos y las mujeres en la narración distópica. Escritos, 24(52), 185–211. https://dx.doi.org/10.18566/escr.v24n52.a09</w:t>
      </w:r>
    </w:p>
    <w:p>
      <w:pPr>
        <w:spacing w:after="200" w:line="300"/>
        <w:ind w:left="720" w:hanging="720"/>
        <w:jc w:val="both"/>
      </w:pPr>
      <w:r>
        <w:rPr>
          <w:rFonts w:ascii="Georgia" w:cs="Georgia" w:eastAsia="Georgia" w:hAnsi="Georgia"/>
          <w:sz w:val="22"/>
          <w:szCs w:val="22"/>
        </w:rPr>
        <w:t xml:space="preserve">Mousa Abd El Azeem, S. (2017). La identidad femenina en los Cuentos de Eva Luna de Isabel Allende: estudio analítico del discurso narrativo feminista. Candil, (17), 214–238.</w:t>
      </w:r>
    </w:p>
    <w:p>
      <w:pPr>
        <w:spacing w:after="200" w:line="300"/>
        <w:ind w:left="720" w:hanging="720"/>
        <w:jc w:val="both"/>
      </w:pPr>
      <w:r>
        <w:rPr>
          <w:rFonts w:ascii="Georgia" w:cs="Georgia" w:eastAsia="Georgia" w:hAnsi="Georgia"/>
          <w:sz w:val="22"/>
          <w:szCs w:val="22"/>
        </w:rPr>
        <w:t xml:space="preserve">Naciones Unidas. (2015). Objetivos de Desarrollo Sostenible.</w:t>
      </w:r>
    </w:p>
    <w:p>
      <w:pPr>
        <w:spacing w:after="200" w:line="300"/>
        <w:ind w:left="720" w:hanging="720"/>
        <w:jc w:val="both"/>
      </w:pPr>
      <w:r>
        <w:rPr>
          <w:rFonts w:ascii="Georgia" w:cs="Georgia" w:eastAsia="Georgia" w:hAnsi="Georgia"/>
          <w:sz w:val="22"/>
          <w:szCs w:val="22"/>
        </w:rPr>
        <w:t xml:space="preserve">Pareja Díaz, J. P. (2024). Reseña del libro Las Travesías de Gilmer Mesa. Estudios de Literatura Colombiana, (55), 234–236. https://doi.org/10.17533/udea.elc.356716</w:t>
      </w:r>
    </w:p>
    <w:p>
      <w:pPr>
        <w:spacing w:after="200" w:line="300"/>
        <w:ind w:left="720" w:hanging="720"/>
        <w:jc w:val="both"/>
      </w:pPr>
      <w:r>
        <w:rPr>
          <w:rFonts w:ascii="Georgia" w:cs="Georgia" w:eastAsia="Georgia" w:hAnsi="Georgia"/>
          <w:sz w:val="22"/>
          <w:szCs w:val="22"/>
        </w:rPr>
        <w:t xml:space="preserve">Penilla Quintero, M. F. (2026). Violencias basadas en género en la Educación Superior: una revisión a su estado del arte. Revista Paca, 15(20), 139–165. https://doi.org/10.25054/2027257X.4810</w:t>
      </w:r>
    </w:p>
    <w:p>
      <w:pPr>
        <w:spacing w:after="200" w:line="300"/>
        <w:ind w:left="720" w:hanging="720"/>
        <w:jc w:val="both"/>
      </w:pPr>
      <w:r>
        <w:rPr>
          <w:rFonts w:ascii="Georgia" w:cs="Georgia" w:eastAsia="Georgia" w:hAnsi="Georgia"/>
          <w:sz w:val="22"/>
          <w:szCs w:val="22"/>
        </w:rPr>
        <w:t xml:space="preserve">Quintana Mendoza, J. (2026). La validación literaria a través de una identidad colectiva, escrituras del tú, yo, ellas y nosotras en seis ensayos de Tsunami [Tesis de licenciatura, Universidad Autónoma del Estado de México, Facultad de Humanidades].</w:t>
      </w:r>
    </w:p>
    <w:p>
      <w:pPr>
        <w:spacing w:after="200" w:line="300"/>
        <w:ind w:left="720" w:hanging="720"/>
        <w:jc w:val="both"/>
      </w:pPr>
      <w:r>
        <w:rPr>
          <w:rFonts w:ascii="Georgia" w:cs="Georgia" w:eastAsia="Georgia" w:hAnsi="Georgia"/>
          <w:sz w:val="22"/>
          <w:szCs w:val="22"/>
        </w:rPr>
        <w:t xml:space="preserve">Rodríguez Hernández, K. J., y Rodríguez Barraza, A. (2021). Violencia de género en instituciones de educación superior. Revista Dilemas Contemporáneos: Educación, Política y Valores, 8(Edición Especial), artículo 14.</w:t>
      </w:r>
    </w:p>
    <w:p>
      <w:pPr>
        <w:spacing w:after="200" w:line="300"/>
        <w:ind w:left="720" w:hanging="720"/>
        <w:jc w:val="both"/>
      </w:pPr>
      <w:r>
        <w:rPr>
          <w:rFonts w:ascii="Georgia" w:cs="Georgia" w:eastAsia="Georgia" w:hAnsi="Georgia"/>
          <w:sz w:val="22"/>
          <w:szCs w:val="22"/>
        </w:rPr>
        <w:t xml:space="preserve">Rondón González, S. P. (2026). Reinterpretación del rol femenino en la historiografía. En A. M. Castro Sánchez y F. Vallejo Trujillo (eds.), De-liberadas: el legado de las mujeres UT (Vol. 2, pp. 153–175). Editorial Universidad del Tolima.</w:t>
      </w:r>
    </w:p>
    <w:p>
      <w:pPr>
        <w:spacing w:after="240" w:before="120" w:line="300"/>
        <w:jc w:val="both"/>
      </w:pPr>
      <w:r>
        <w:rPr>
          <w:rFonts w:ascii="Georgia" w:cs="Georgia" w:eastAsia="Georgia" w:hAnsi="Georgia"/>
          <w:i/>
          <w:iCs/>
          <w:color w:val="555555"/>
          <w:sz w:val="20"/>
          <w:szCs w:val="20"/>
        </w:rPr>
        <w:t xml:space="preserve">Nota: la referencia de Pareja Díaz (2024) se conserva porque ya estaba citada, con página, en las versiones anteriores del documento; sin embargo, esa reseña no se encuentra entre los PDF cargados al proyecto y no fue posible verificarla directamente contra la fuente original. Se recomienda subirla al proyecto antes de la entrega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2026-08-30T23:16:43.061Z</dcterms:created>
  <dcterms:modified xsi:type="dcterms:W3CDTF">2026-08-30T23:16:43.062Z</dcterms:modified>
</cp:coreProperties>
</file>

<file path=docProps/custom.xml><?xml version="1.0" encoding="utf-8"?>
<Properties xmlns="http://schemas.openxmlformats.org/officeDocument/2006/custom-properties" xmlns:vt="http://schemas.openxmlformats.org/officeDocument/2006/docPropsVTypes"/>
</file>