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Revisión de Introducción, Justificación, Objetivo General y Objetivos Específicos</w:t>
      </w:r>
      <w:r w:rsidDel="00000000" w:rsidR="00000000" w:rsidRPr="00000000">
        <w:rPr>
          <w:rtl w:val="0"/>
        </w:rPr>
      </w:r>
    </w:p>
    <w:p w:rsidR="00000000" w:rsidDel="00000000" w:rsidP="00000000" w:rsidRDefault="00000000" w:rsidRPr="00000000" w14:paraId="00000002">
      <w:pPr>
        <w:spacing w:after="120" w:line="480" w:lineRule="auto"/>
        <w:jc w:val="center"/>
        <w:rPr/>
      </w:pPr>
      <w:r w:rsidDel="00000000" w:rsidR="00000000" w:rsidRPr="00000000">
        <w:rPr>
          <w:rFonts w:ascii="Times New Roman" w:cs="Times New Roman" w:eastAsia="Times New Roman" w:hAnsi="Times New Roman"/>
          <w:i w:val="1"/>
          <w:iCs w:val="1"/>
          <w:sz w:val="24"/>
          <w:szCs w:val="24"/>
          <w:rtl w:val="0"/>
        </w:rPr>
        <w:t xml:space="preserve">Monografía: La representación del rol femenino en las obras literarias contemporáneas “Como agua para chocolate” y “Las travesías”: un análisis comparativo</w:t>
      </w:r>
      <w:r w:rsidDel="00000000" w:rsidR="00000000" w:rsidRPr="00000000">
        <w:rPr>
          <w:rtl w:val="0"/>
        </w:rPr>
      </w:r>
    </w:p>
    <w:p w:rsidR="00000000" w:rsidDel="00000000" w:rsidP="00000000" w:rsidRDefault="00000000" w:rsidRPr="00000000" w14:paraId="00000003">
      <w:pPr>
        <w:spacing w:after="360" w:line="480" w:lineRule="auto"/>
        <w:jc w:val="center"/>
        <w:rPr/>
      </w:pPr>
      <w:r w:rsidDel="00000000" w:rsidR="00000000" w:rsidRPr="00000000">
        <w:rPr>
          <w:rFonts w:ascii="Times New Roman" w:cs="Times New Roman" w:eastAsia="Times New Roman" w:hAnsi="Times New Roman"/>
          <w:sz w:val="24"/>
          <w:szCs w:val="24"/>
          <w:rtl w:val="0"/>
        </w:rPr>
        <w:t xml:space="preserve">Estudiante: María Kamila Vega Correa | Colegio Miguel Antonio Caro (COLMAC) | Bogotá D. C., 2026</w:t>
      </w:r>
      <w:r w:rsidDel="00000000" w:rsidR="00000000" w:rsidRPr="00000000">
        <w:rPr>
          <w:rtl w:val="0"/>
        </w:rPr>
      </w:r>
    </w:p>
    <w:p w:rsidR="00000000" w:rsidDel="00000000" w:rsidP="00000000" w:rsidRDefault="00000000" w:rsidRPr="00000000" w14:paraId="00000004">
      <w:pPr>
        <w:spacing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este documento contiene la versión revisada de cuatro secciones del anteproyecto, elaborada a partir de la plantilla “Monografia Maria Kamila vega version 1” y de las fuentes cargadas en el proyecto. Al final se incluye un apartado de observaciones críticas que debe leerse junto con el contenido, pues señala vacíos de información y correcciones pendientes que no pueden resolverse solo con las fuentes disponibles.</w:t>
      </w:r>
      <w:r w:rsidDel="00000000" w:rsidR="00000000" w:rsidRPr="00000000">
        <w:rPr>
          <w:rtl w:val="0"/>
        </w:rPr>
      </w:r>
    </w:p>
    <w:p w:rsidR="00000000" w:rsidDel="00000000" w:rsidP="00000000" w:rsidRDefault="00000000" w:rsidRPr="00000000" w14:paraId="00000005">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6">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En este sentido, la representación de la mujer dentro de la literatura permite observar cómo se han construido y transformado las ideas relacionadas con el papel femenino, así como las expectativas y normas que han influido en la vida de las mujeres en diferentes contextos históricos y culturales.</w:t>
      </w:r>
      <w:r w:rsidDel="00000000" w:rsidR="00000000" w:rsidRPr="00000000">
        <w:rPr>
          <w:rtl w:val="0"/>
        </w:rPr>
      </w:r>
    </w:p>
    <w:p w:rsidR="00000000" w:rsidDel="00000000" w:rsidP="00000000" w:rsidRDefault="00000000" w:rsidRPr="00000000" w14:paraId="00000007">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rol de la mujer no ha permanecido igual a lo largo de la historia. Como lo plantea Beauvoir (1949) en su obra “El segundo sexo”, “No se nace mujer: se llega a serlo” (p. 109), lo que indica que el papel femenino no responde a una condición biológica fija, sino a un proceso de construcción social e histórica.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Por esta razón, analizar la manera en que estos aspectos aparecen representados en la literatura permite establecer una relación entre las obras literarias y algunas de las realidades que continúan formando parte de la sociedad.</w:t>
      </w:r>
      <w:r w:rsidDel="00000000" w:rsidR="00000000" w:rsidRPr="00000000">
        <w:rPr>
          <w:rtl w:val="0"/>
        </w:rPr>
      </w:r>
    </w:p>
    <w:p w:rsidR="00000000" w:rsidDel="00000000" w:rsidP="00000000" w:rsidRDefault="00000000" w:rsidRPr="00000000" w14:paraId="00000008">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transformación puede observarse con particular claridad en el periodo histórico en el que se ambientan las dos obras seleccionadas para este análisis. “Como agua para chocolate”, de Laura Esquivel, sitúa la vida de sus personajes femeninos en el contexto de la Revolución mexicana, tal como se evidencia en el pasaje en que la tropa revolucionaria llega al rancho de la familia De la Garza y se enfrenta a Mamá Elena (Esquivel, s. f., cap. “V. Mayo”). Por su parte, “Las travesías”, de Gilmer Mesa, presenta una historia “localizable en gran parte del siglo xx en Colombia, en el marco de la guerra bipartidista” (Pareja Díaz, 2024, p. 234), periodo marcado por La Violencia y por la colonización de tierras rurales en el norte de Antioquia. Delimitar temporalmente ambas narrativas es necesario porque permite comprender que las condiciones que enfrentan los personajes femeninos de cada obra no son atemporales, sino que responden a procesos históricos y sociales específicos, cuyo estudio se ampliará en el marco teórico de esta monografía.</w:t>
      </w:r>
      <w:r w:rsidDel="00000000" w:rsidR="00000000" w:rsidRPr="00000000">
        <w:rPr>
          <w:rtl w:val="0"/>
        </w:rPr>
      </w:r>
    </w:p>
    <w:p w:rsidR="00000000" w:rsidDel="00000000" w:rsidP="00000000" w:rsidRDefault="00000000" w:rsidRPr="00000000" w14:paraId="00000009">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rsidDel="00000000" w:rsidR="00000000" w:rsidRPr="00000000">
        <w:rPr>
          <w:rtl w:val="0"/>
        </w:rPr>
      </w:r>
    </w:p>
    <w:p w:rsidR="00000000" w:rsidDel="00000000" w:rsidP="00000000" w:rsidRDefault="00000000" w:rsidRPr="00000000" w14:paraId="0000000A">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p w:rsidR="00000000" w:rsidDel="00000000" w:rsidP="00000000" w:rsidRDefault="00000000" w:rsidRPr="00000000" w14:paraId="0000000B">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La importancia de esta investigación radica en visibilizar cómo el rol de la mujer se ha visto históricamente desfavorecido en distintos ámbitos. Como lo señala Beauvoir (1949),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r w:rsidDel="00000000" w:rsidR="00000000" w:rsidRPr="00000000">
        <w:rPr>
          <w:rtl w:val="0"/>
        </w:rPr>
      </w:r>
    </w:p>
    <w:p w:rsidR="00000000" w:rsidDel="00000000" w:rsidP="00000000" w:rsidRDefault="00000000" w:rsidRPr="00000000" w14:paraId="0000000C">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Sin embargo, esta situación no ha permanecido estática. Con el paso del tiempo, las mujeres han cuestionado muchas de estas ideas y han buscado ocupar espacios que anteriormente les eran negados o en los que su participación era limitada. En este sentido, las obras que se abordan en esta investigación permiten observar diferentes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r w:rsidDel="00000000" w:rsidR="00000000" w:rsidRPr="00000000">
        <w:rPr>
          <w:rtl w:val="0"/>
        </w:rPr>
      </w:r>
    </w:p>
    <w:p w:rsidR="00000000" w:rsidDel="00000000" w:rsidP="00000000" w:rsidRDefault="00000000" w:rsidRPr="00000000" w14:paraId="0000000D">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Por esta razón, resulta pertinente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estereotipos y la toma de decisiones adquieren significados distintos dentro de cada obra.</w:t>
      </w:r>
      <w:r w:rsidDel="00000000" w:rsidR="00000000" w:rsidRPr="00000000">
        <w:rPr>
          <w:rtl w:val="0"/>
        </w:rPr>
      </w:r>
    </w:p>
    <w:p w:rsidR="00000000" w:rsidDel="00000000" w:rsidP="00000000" w:rsidRDefault="00000000" w:rsidRPr="00000000" w14:paraId="0000000E">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rsidDel="00000000" w:rsidR="00000000" w:rsidRPr="00000000">
        <w:rPr>
          <w:rtl w:val="0"/>
        </w:rPr>
      </w:r>
    </w:p>
    <w:p w:rsidR="00000000" w:rsidDel="00000000" w:rsidP="00000000" w:rsidRDefault="00000000" w:rsidRPr="00000000" w14:paraId="0000000F">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OBJETIVOS</w:t>
      </w:r>
      <w:r w:rsidDel="00000000" w:rsidR="00000000" w:rsidRPr="00000000">
        <w:rPr>
          <w:rtl w:val="0"/>
        </w:rPr>
      </w:r>
    </w:p>
    <w:p w:rsidR="00000000" w:rsidDel="00000000" w:rsidP="00000000" w:rsidRDefault="00000000" w:rsidRPr="00000000" w14:paraId="00000010">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11">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Analizar la influencia de las narrativas de “Como agua para chocolate”, de Laura Esquivel —ambientada en el contexto de la Revolución mexicana—, y de “Las travesías”, de Gilmer Mesa —ambientada en el marco de la guerra bipartidista colombiana del siglo XX (Pareja Díaz, 2024, p. 234)—, en la transformación de las percepciones del rol femenino entre los estudiantes de los grados 9.º y 10.º del Colegio Miguel Antonio Caro, a partir de un análisis comparativo de sus elementos simbólicos y culturales.</w:t>
      </w:r>
      <w:r w:rsidDel="00000000" w:rsidR="00000000" w:rsidRPr="00000000">
        <w:rPr>
          <w:rtl w:val="0"/>
        </w:rPr>
      </w:r>
    </w:p>
    <w:p w:rsidR="00000000" w:rsidDel="00000000" w:rsidP="00000000" w:rsidRDefault="00000000" w:rsidRPr="00000000" w14:paraId="00000012">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13">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1. Identificar las trayectorias de los personajes femeninos en “Como agua para chocolate” y en “Las travesías”, analizando los desafíos que enfrentan dentro de sus respectivos contextos históricos y su incidencia en la configuración de sus roles.</w:t>
      </w:r>
      <w:r w:rsidDel="00000000" w:rsidR="00000000" w:rsidRPr="00000000">
        <w:rPr>
          <w:rtl w:val="0"/>
        </w:rPr>
      </w:r>
    </w:p>
    <w:p w:rsidR="00000000" w:rsidDel="00000000" w:rsidP="00000000" w:rsidRDefault="00000000" w:rsidRPr="00000000" w14:paraId="00000014">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2. Examinar los símbolos culturales y los elementos narrativos que ambas obras emplean para redefinir la identidad femenina, estableciendo semejanzas y diferencias entre las dos representaciones.</w:t>
      </w:r>
      <w:r w:rsidDel="00000000" w:rsidR="00000000" w:rsidRPr="00000000">
        <w:rPr>
          <w:rtl w:val="0"/>
        </w:rPr>
      </w:r>
    </w:p>
    <w:p w:rsidR="00000000" w:rsidDel="00000000" w:rsidP="00000000" w:rsidRDefault="00000000" w:rsidRPr="00000000" w14:paraId="00000015">
      <w:pPr>
        <w:spacing w:line="480" w:lineRule="auto"/>
        <w:jc w:val="both"/>
        <w:rPr/>
      </w:pPr>
      <w:r w:rsidDel="00000000" w:rsidR="00000000" w:rsidRPr="00000000">
        <w:rPr>
          <w:rFonts w:ascii="Times New Roman" w:cs="Times New Roman" w:eastAsia="Times New Roman" w:hAnsi="Times New Roman"/>
          <w:i w:val="0"/>
          <w:iCs w:val="0"/>
          <w:sz w:val="24"/>
          <w:szCs w:val="24"/>
          <w:rtl w:val="0"/>
        </w:rPr>
        <w:t xml:space="preserve">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rsidDel="00000000" w:rsidR="00000000" w:rsidRPr="00000000">
        <w:rPr>
          <w:rtl w:val="0"/>
        </w:rPr>
      </w:r>
    </w:p>
    <w:p w:rsidR="00000000" w:rsidDel="00000000" w:rsidP="00000000" w:rsidRDefault="00000000" w:rsidRPr="00000000" w14:paraId="00000016">
      <w:pPr>
        <w:spacing w:after="240" w:before="24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OBSERVACIONES CRÍTICAS Y ALERTAS METODOLÓGICAS</w:t>
      </w:r>
      <w:r w:rsidDel="00000000" w:rsidR="00000000" w:rsidRPr="00000000">
        <w:rPr>
          <w:rtl w:val="0"/>
        </w:rPr>
      </w:r>
    </w:p>
    <w:p w:rsidR="00000000" w:rsidDel="00000000" w:rsidP="00000000" w:rsidRDefault="00000000" w:rsidRPr="00000000" w14:paraId="00000017">
      <w:pPr>
        <w:spacing w:line="48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Estas observaciones son necesarias antes de seguir avanzando en el documento; no son opcionales.</w:t>
      </w:r>
      <w:r w:rsidDel="00000000" w:rsidR="00000000" w:rsidRPr="00000000">
        <w:rPr>
          <w:rtl w:val="0"/>
        </w:rPr>
      </w:r>
    </w:p>
    <w:p w:rsidR="00000000" w:rsidDel="00000000" w:rsidP="00000000" w:rsidRDefault="00000000" w:rsidRPr="00000000" w14:paraId="00000018">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Cita de “Fernanda (2021)” en el Resumen. Esta cita, ya presente en la plantilla (fuera del alcance de esta revisión), corresponde a una tesis de la Universidad del Cauca que no está entre los documentos cargados al proyecto. Conforme a la regla de fuente exclusiva, no puede sostenerse ni verificarse su página exacta. Debes subir ese documento al proyecto o retirar la cita mientras no esté disponible.</w:t>
      </w:r>
      <w:r w:rsidDel="00000000" w:rsidR="00000000" w:rsidRPr="00000000">
        <w:rPr>
          <w:rtl w:val="0"/>
        </w:rPr>
      </w:r>
    </w:p>
    <w:p w:rsidR="00000000" w:rsidDel="00000000" w:rsidP="00000000" w:rsidRDefault="00000000" w:rsidRPr="00000000" w14:paraId="00000019">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Paginación y edición de “Como agua para chocolate”. El archivo PDF cargado no conserva la numeración de páginas del libro impreso ni indica año o editorial. Por eso, en esta revisión se citó como (Esquivel, s. f.) y se usó el capítulo mensual (por ejemplo, “cap. ‘V. Mayo’”) como ubicación, en lugar de un número de página. Esto es una limitación real: consigue una edición paginada o los datos de colofón (año, editorial) para poder citar con precisión en los capítulos de desarrollo y para completar la referencia bibliográfica.</w:t>
      </w:r>
      <w:r w:rsidDel="00000000" w:rsidR="00000000" w:rsidRPr="00000000">
        <w:rPr>
          <w:rtl w:val="0"/>
        </w:rPr>
      </w:r>
    </w:p>
    <w:p w:rsidR="00000000" w:rsidDel="00000000" w:rsidP="00000000" w:rsidRDefault="00000000" w:rsidRPr="00000000" w14:paraId="0000001A">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Edición de “El segundo sexo”, de Simone de Beauvoir. El archivo no incluye datos de editorial, traductor ni año de edición de la versión digitalizada; solo una nota del propio texto indica que fue escrito entre 1948 y 1949. Las citas de esta revisión usan (Beauvoir, 1949) y el número de página corresponde a la paginación propia del archivo PDF consultado, no a una edición impresa confirmada. Verifica estos datos antes de la entrega final; si no logras identificarlos, dilo explícitamente en la referencia en lugar de aproximarlos.</w:t>
      </w:r>
      <w:r w:rsidDel="00000000" w:rsidR="00000000" w:rsidRPr="00000000">
        <w:rPr>
          <w:rtl w:val="0"/>
        </w:rPr>
      </w:r>
    </w:p>
    <w:p w:rsidR="00000000" w:rsidDel="00000000" w:rsidP="00000000" w:rsidRDefault="00000000" w:rsidRPr="00000000" w14:paraId="0000001B">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Vacío de fuentes sobre el rol femenino en “Las travesías”. Este es el hallazgo más importante de la revisión. El proyecto no contiene el texto completo de la novela de Gilmer Mesa, sino únicamente una reseña académica (Pareja Díaz, 2024) centrada en La Violencia, el paisaje y el fratricidio. Esa reseña menciona a los personajes femeninos Mercedes y Carmela solo de paso, en la fundación del linaje, sin desarrollar su rol, su autonomía ni su identidad. En consecuencia, con las fuentes actuales, el análisis comparativo del rol femenino en “Las travesías” descansa sobre una base textual muy delgada frente a la de “Como agua para chocolate”, donde sí se cuenta con la novela completa. Esto compromete la simetría metodológica del análisis comparativo. Antes de avanzar al marco teórico, consigue el texto completo de la novela (Mesa, 2021, Penguin Random House) o fuentes secundarias adicionales enfocadas específicamente en sus personajes femeninos.</w:t>
      </w:r>
      <w:r w:rsidDel="00000000" w:rsidR="00000000" w:rsidRPr="00000000">
        <w:rPr>
          <w:rtl w:val="0"/>
        </w:rPr>
      </w:r>
    </w:p>
    <w:p w:rsidR="00000000" w:rsidDel="00000000" w:rsidP="00000000" w:rsidRDefault="00000000" w:rsidRPr="00000000" w14:paraId="0000001C">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Corrección de comillas en obras literarias. La observación del asesor (“las obras literarias siempre van entre comillas”) se aplicó en las cuatro secciones revisadas aquí. Falta extenderla al resto del documento: portada, resumen, planteamiento del problema, título investigativo, marco teórico y bibliografía, donde aún aparecen los títulos sin comillas.</w:t>
      </w:r>
      <w:r w:rsidDel="00000000" w:rsidR="00000000" w:rsidRPr="00000000">
        <w:rPr>
          <w:rtl w:val="0"/>
        </w:rPr>
      </w:r>
    </w:p>
    <w:p w:rsidR="00000000" w:rsidDel="00000000" w:rsidP="00000000" w:rsidRDefault="00000000" w:rsidRPr="00000000" w14:paraId="0000001D">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6. Contenido ajeno en “MARCO TEÓRICO”. La plantilla actual conserva, en esa sección, un ejemplo sobre maltrato animal que no corresponde al tema de la monografía. Deberá sustituirse por completo cuando se elabore esa parte del documento.</w:t>
      </w:r>
      <w:r w:rsidDel="00000000" w:rsidR="00000000" w:rsidRPr="00000000">
        <w:rPr>
          <w:rtl w:val="0"/>
        </w:rPr>
      </w:r>
    </w:p>
    <w:p w:rsidR="00000000" w:rsidDel="00000000" w:rsidP="00000000" w:rsidRDefault="00000000" w:rsidRPr="00000000" w14:paraId="0000001E">
      <w:pPr>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Entradas sugeridas para la Bibliografía</w:t>
      </w:r>
      <w:r w:rsidDel="00000000" w:rsidR="00000000" w:rsidRPr="00000000">
        <w:rPr>
          <w:rtl w:val="0"/>
        </w:rPr>
      </w:r>
    </w:p>
    <w:p w:rsidR="00000000" w:rsidDel="00000000" w:rsidP="00000000" w:rsidRDefault="00000000" w:rsidRPr="00000000" w14:paraId="0000001F">
      <w:pPr>
        <w:spacing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Estas cuatro fuentes se citaron por primera vez en la revisión de estas secciones y deben incorporarse a la lista de referencias, en orden alfabético y con sangría francesa, junto con las demás entradas del documento:</w:t>
      </w:r>
      <w:r w:rsidDel="00000000" w:rsidR="00000000" w:rsidRPr="00000000">
        <w:rPr>
          <w:rtl w:val="0"/>
        </w:rPr>
      </w:r>
    </w:p>
    <w:p w:rsidR="00000000" w:rsidDel="00000000" w:rsidP="00000000" w:rsidRDefault="00000000" w:rsidRPr="00000000" w14:paraId="00000020">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Beauvoir, S. de. (1949). </w:t>
      </w:r>
      <w:r w:rsidDel="00000000" w:rsidR="00000000" w:rsidRPr="00000000">
        <w:rPr>
          <w:rFonts w:ascii="Times New Roman" w:cs="Times New Roman" w:eastAsia="Times New Roman" w:hAnsi="Times New Roman"/>
          <w:b w:val="0"/>
          <w:bCs w:val="0"/>
          <w:i w:val="1"/>
          <w:iCs w:val="1"/>
          <w:sz w:val="24"/>
          <w:szCs w:val="24"/>
          <w:rtl w:val="0"/>
        </w:rPr>
        <w:t xml:space="preserve">El segundo sexo</w:t>
      </w:r>
      <w:r w:rsidDel="00000000" w:rsidR="00000000" w:rsidRPr="00000000">
        <w:rPr>
          <w:rFonts w:ascii="Times New Roman" w:cs="Times New Roman" w:eastAsia="Times New Roman" w:hAnsi="Times New Roman"/>
          <w:b w:val="0"/>
          <w:bCs w:val="0"/>
          <w:i w:val="0"/>
          <w:iCs w:val="0"/>
          <w:sz w:val="24"/>
          <w:szCs w:val="24"/>
          <w:rtl w:val="0"/>
        </w:rPr>
        <w:t xml:space="preserve"> [Archivo PDF; editorial y traductor no identificados en el archivo consultado].</w:t>
      </w:r>
      <w:r w:rsidDel="00000000" w:rsidR="00000000" w:rsidRPr="00000000">
        <w:rPr>
          <w:rtl w:val="0"/>
        </w:rPr>
      </w:r>
    </w:p>
    <w:p w:rsidR="00000000" w:rsidDel="00000000" w:rsidP="00000000" w:rsidRDefault="00000000" w:rsidRPr="00000000" w14:paraId="00000021">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Esquivel, L. (s. f.). </w:t>
      </w:r>
      <w:r w:rsidDel="00000000" w:rsidR="00000000" w:rsidRPr="00000000">
        <w:rPr>
          <w:rFonts w:ascii="Times New Roman" w:cs="Times New Roman" w:eastAsia="Times New Roman" w:hAnsi="Times New Roman"/>
          <w:b w:val="0"/>
          <w:bCs w:val="0"/>
          <w:i w:val="1"/>
          <w:iCs w:val="1"/>
          <w:sz w:val="24"/>
          <w:szCs w:val="24"/>
          <w:rtl w:val="0"/>
        </w:rPr>
        <w:t xml:space="preserve">Como agua para chocolate</w:t>
      </w:r>
      <w:r w:rsidDel="00000000" w:rsidR="00000000" w:rsidRPr="00000000">
        <w:rPr>
          <w:rFonts w:ascii="Times New Roman" w:cs="Times New Roman" w:eastAsia="Times New Roman" w:hAnsi="Times New Roman"/>
          <w:b w:val="0"/>
          <w:bCs w:val="0"/>
          <w:i w:val="0"/>
          <w:iCs w:val="0"/>
          <w:sz w:val="24"/>
          <w:szCs w:val="24"/>
          <w:rtl w:val="0"/>
        </w:rPr>
        <w:t xml:space="preserve"> [Archivo PDF; año y editorial no identificados en el archivo consultado].</w:t>
      </w:r>
      <w:r w:rsidDel="00000000" w:rsidR="00000000" w:rsidRPr="00000000">
        <w:rPr>
          <w:rtl w:val="0"/>
        </w:rPr>
      </w:r>
    </w:p>
    <w:p w:rsidR="00000000" w:rsidDel="00000000" w:rsidP="00000000" w:rsidRDefault="00000000" w:rsidRPr="00000000" w14:paraId="00000022">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Mesa, G. (2021). </w:t>
      </w:r>
      <w:r w:rsidDel="00000000" w:rsidR="00000000" w:rsidRPr="00000000">
        <w:rPr>
          <w:rFonts w:ascii="Times New Roman" w:cs="Times New Roman" w:eastAsia="Times New Roman" w:hAnsi="Times New Roman"/>
          <w:b w:val="0"/>
          <w:bCs w:val="0"/>
          <w:i w:val="1"/>
          <w:iCs w:val="1"/>
          <w:sz w:val="24"/>
          <w:szCs w:val="24"/>
          <w:rtl w:val="0"/>
        </w:rPr>
        <w:t xml:space="preserve">Las travesías</w:t>
      </w:r>
      <w:r w:rsidDel="00000000" w:rsidR="00000000" w:rsidRPr="00000000">
        <w:rPr>
          <w:rFonts w:ascii="Times New Roman" w:cs="Times New Roman" w:eastAsia="Times New Roman" w:hAnsi="Times New Roman"/>
          <w:b w:val="0"/>
          <w:bCs w:val="0"/>
          <w:i w:val="0"/>
          <w:iCs w:val="0"/>
          <w:sz w:val="24"/>
          <w:szCs w:val="24"/>
          <w:rtl w:val="0"/>
        </w:rPr>
        <w:t xml:space="preserve">. Penguin Random House.</w:t>
      </w:r>
      <w:r w:rsidDel="00000000" w:rsidR="00000000" w:rsidRPr="00000000">
        <w:rPr>
          <w:rtl w:val="0"/>
        </w:rPr>
      </w:r>
    </w:p>
    <w:p w:rsidR="00000000" w:rsidDel="00000000" w:rsidP="00000000" w:rsidRDefault="00000000" w:rsidRPr="00000000" w14:paraId="00000023">
      <w:pPr>
        <w:spacing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Pareja Díaz, J. P. (2024). Reseña del libro </w:t>
      </w:r>
      <w:r w:rsidDel="00000000" w:rsidR="00000000" w:rsidRPr="00000000">
        <w:rPr>
          <w:rFonts w:ascii="Times New Roman" w:cs="Times New Roman" w:eastAsia="Times New Roman" w:hAnsi="Times New Roman"/>
          <w:b w:val="0"/>
          <w:bCs w:val="0"/>
          <w:i w:val="1"/>
          <w:iCs w:val="1"/>
          <w:sz w:val="24"/>
          <w:szCs w:val="24"/>
          <w:rtl w:val="0"/>
        </w:rPr>
        <w:t xml:space="preserve">Las Travesías</w:t>
      </w:r>
      <w:r w:rsidDel="00000000" w:rsidR="00000000" w:rsidRPr="00000000">
        <w:rPr>
          <w:rFonts w:ascii="Times New Roman" w:cs="Times New Roman" w:eastAsia="Times New Roman" w:hAnsi="Times New Roman"/>
          <w:b w:val="0"/>
          <w:bCs w:val="0"/>
          <w:i w:val="0"/>
          <w:iCs w:val="0"/>
          <w:sz w:val="24"/>
          <w:szCs w:val="24"/>
          <w:rtl w:val="0"/>
        </w:rPr>
        <w:t xml:space="preserve"> de Gilmer Mesa. </w:t>
      </w:r>
      <w:r w:rsidDel="00000000" w:rsidR="00000000" w:rsidRPr="00000000">
        <w:rPr>
          <w:rFonts w:ascii="Times New Roman" w:cs="Times New Roman" w:eastAsia="Times New Roman" w:hAnsi="Times New Roman"/>
          <w:b w:val="0"/>
          <w:bCs w:val="0"/>
          <w:i w:val="1"/>
          <w:iCs w:val="1"/>
          <w:sz w:val="24"/>
          <w:szCs w:val="24"/>
          <w:rtl w:val="0"/>
        </w:rPr>
        <w:t xml:space="preserve">Estudios de Literatura Colombiana</w:t>
      </w:r>
      <w:r w:rsidDel="00000000" w:rsidR="00000000" w:rsidRPr="00000000">
        <w:rPr>
          <w:rFonts w:ascii="Times New Roman" w:cs="Times New Roman" w:eastAsia="Times New Roman" w:hAnsi="Times New Roman"/>
          <w:b w:val="0"/>
          <w:bCs w:val="0"/>
          <w:i w:val="0"/>
          <w:iCs w:val="0"/>
          <w:sz w:val="24"/>
          <w:szCs w:val="24"/>
          <w:rtl w:val="0"/>
        </w:rPr>
        <w:t xml:space="preserve">, (55), 234–236. https://doi.org/10.17533/udea.elc.356716</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