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C62F5" w14:textId="76E0718E" w:rsidR="00986579" w:rsidRDefault="00986579"/>
    <w:p w14:paraId="03442681" w14:textId="69770426" w:rsidR="00986579" w:rsidRPr="00986579" w:rsidRDefault="00986579" w:rsidP="00986579">
      <w:pPr>
        <w:jc w:val="center"/>
        <w:rPr>
          <w:sz w:val="28"/>
          <w:szCs w:val="28"/>
        </w:rPr>
      </w:pPr>
    </w:p>
    <w:p w14:paraId="5C074B2C" w14:textId="3D43BFF8" w:rsidR="00986579" w:rsidRDefault="00986579" w:rsidP="00986579">
      <w:pPr>
        <w:jc w:val="center"/>
        <w:rPr>
          <w:rFonts w:ascii="Berlin Sans FB" w:hAnsi="Berlin Sans FB"/>
          <w:sz w:val="40"/>
          <w:szCs w:val="40"/>
        </w:rPr>
      </w:pPr>
    </w:p>
    <w:p w14:paraId="70EF9439" w14:textId="5177F8D1" w:rsidR="00986579" w:rsidRDefault="00986579" w:rsidP="00986579">
      <w:pPr>
        <w:jc w:val="center"/>
        <w:rPr>
          <w:rFonts w:ascii="Berlin Sans FB" w:hAnsi="Berlin Sans FB"/>
          <w:sz w:val="40"/>
          <w:szCs w:val="40"/>
        </w:rPr>
      </w:pPr>
    </w:p>
    <w:p w14:paraId="192C5D04" w14:textId="1F205C68" w:rsidR="00986579" w:rsidRDefault="00986579" w:rsidP="00986579">
      <w:pPr>
        <w:jc w:val="center"/>
        <w:rPr>
          <w:rFonts w:ascii="Berlin Sans FB" w:hAnsi="Berlin Sans FB"/>
          <w:sz w:val="40"/>
          <w:szCs w:val="40"/>
        </w:rPr>
      </w:pPr>
    </w:p>
    <w:p w14:paraId="53C78F39" w14:textId="3FE01772" w:rsidR="00986579" w:rsidRDefault="00986579" w:rsidP="00986579">
      <w:pPr>
        <w:jc w:val="center"/>
        <w:rPr>
          <w:rFonts w:ascii="Berlin Sans FB" w:hAnsi="Berlin Sans FB"/>
          <w:sz w:val="40"/>
          <w:szCs w:val="40"/>
        </w:rPr>
      </w:pPr>
      <w:r>
        <w:rPr>
          <w:noProof/>
          <w:lang w:eastAsia="es-CO"/>
          <w14:ligatures w14:val="none"/>
        </w:rPr>
        <w:drawing>
          <wp:anchor distT="0" distB="0" distL="114300" distR="114300" simplePos="0" relativeHeight="251658240" behindDoc="1" locked="0" layoutInCell="1" allowOverlap="1" wp14:anchorId="580DE690" wp14:editId="6F39F42A">
            <wp:simplePos x="0" y="0"/>
            <wp:positionH relativeFrom="margin">
              <wp:posOffset>1695450</wp:posOffset>
            </wp:positionH>
            <wp:positionV relativeFrom="paragraph">
              <wp:posOffset>391160</wp:posOffset>
            </wp:positionV>
            <wp:extent cx="2285496" cy="1401288"/>
            <wp:effectExtent l="0" t="0" r="635" b="8890"/>
            <wp:wrapNone/>
            <wp:docPr id="1816003199" name="Imagen 181600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7">
                      <a:extLst>
                        <a:ext uri="{28A0092B-C50C-407E-A947-70E740481C1C}">
                          <a14:useLocalDpi xmlns:a14="http://schemas.microsoft.com/office/drawing/2010/main" val="0"/>
                        </a:ext>
                      </a:extLst>
                    </a:blip>
                    <a:stretch>
                      <a:fillRect/>
                    </a:stretch>
                  </pic:blipFill>
                  <pic:spPr>
                    <a:xfrm>
                      <a:off x="0" y="0"/>
                      <a:ext cx="2285496" cy="1401288"/>
                    </a:xfrm>
                    <a:prstGeom prst="rect">
                      <a:avLst/>
                    </a:prstGeom>
                  </pic:spPr>
                </pic:pic>
              </a:graphicData>
            </a:graphic>
            <wp14:sizeRelH relativeFrom="margin">
              <wp14:pctWidth>0</wp14:pctWidth>
            </wp14:sizeRelH>
            <wp14:sizeRelV relativeFrom="margin">
              <wp14:pctHeight>0</wp14:pctHeight>
            </wp14:sizeRelV>
          </wp:anchor>
        </w:drawing>
      </w:r>
    </w:p>
    <w:p w14:paraId="6B29D13A" w14:textId="07888747" w:rsidR="00986579" w:rsidRDefault="00986579" w:rsidP="00986579">
      <w:pPr>
        <w:jc w:val="center"/>
        <w:rPr>
          <w:rFonts w:ascii="Berlin Sans FB" w:hAnsi="Berlin Sans FB"/>
          <w:sz w:val="40"/>
          <w:szCs w:val="40"/>
        </w:rPr>
      </w:pPr>
    </w:p>
    <w:p w14:paraId="1CA2D248" w14:textId="77777777" w:rsidR="00986579" w:rsidRDefault="00986579" w:rsidP="00986579">
      <w:pPr>
        <w:jc w:val="center"/>
        <w:rPr>
          <w:rFonts w:ascii="Berlin Sans FB" w:hAnsi="Berlin Sans FB"/>
          <w:sz w:val="40"/>
          <w:szCs w:val="40"/>
        </w:rPr>
      </w:pPr>
    </w:p>
    <w:p w14:paraId="4D6D0B69" w14:textId="77777777" w:rsidR="00986579" w:rsidRDefault="00986579" w:rsidP="00986579">
      <w:pPr>
        <w:jc w:val="center"/>
        <w:rPr>
          <w:rFonts w:ascii="Berlin Sans FB" w:hAnsi="Berlin Sans FB"/>
          <w:sz w:val="40"/>
          <w:szCs w:val="40"/>
        </w:rPr>
      </w:pPr>
    </w:p>
    <w:p w14:paraId="0246302A" w14:textId="77777777" w:rsidR="009247A5" w:rsidRDefault="009247A5" w:rsidP="00D51FDB">
      <w:pPr>
        <w:rPr>
          <w:rFonts w:ascii="Berlin Sans FB" w:hAnsi="Berlin Sans FB"/>
          <w:sz w:val="40"/>
          <w:szCs w:val="40"/>
        </w:rPr>
      </w:pPr>
    </w:p>
    <w:p w14:paraId="256D9379" w14:textId="77777777" w:rsidR="0053115F" w:rsidRDefault="0053115F" w:rsidP="00986579">
      <w:pPr>
        <w:jc w:val="center"/>
        <w:rPr>
          <w:rFonts w:ascii="Berlin Sans FB" w:hAnsi="Berlin Sans FB"/>
          <w:sz w:val="40"/>
          <w:szCs w:val="40"/>
        </w:rPr>
      </w:pPr>
    </w:p>
    <w:p w14:paraId="63F76C0E" w14:textId="258376AB" w:rsidR="00D51FDB" w:rsidRDefault="00D51FDB" w:rsidP="00986579">
      <w:pPr>
        <w:jc w:val="center"/>
        <w:rPr>
          <w:rFonts w:ascii="Berlin Sans FB" w:hAnsi="Berlin Sans FB"/>
          <w:sz w:val="40"/>
          <w:szCs w:val="40"/>
        </w:rPr>
      </w:pPr>
      <w:r>
        <w:rPr>
          <w:rFonts w:ascii="Berlin Sans FB" w:hAnsi="Berlin Sans FB"/>
          <w:sz w:val="40"/>
          <w:szCs w:val="40"/>
        </w:rPr>
        <w:t>Documentando el Plan 70D</w:t>
      </w:r>
    </w:p>
    <w:p w14:paraId="3988B4C6" w14:textId="5B46ED57" w:rsidR="00D51FDB" w:rsidRDefault="00D51FDB" w:rsidP="00986579">
      <w:pPr>
        <w:jc w:val="center"/>
        <w:rPr>
          <w:rFonts w:ascii="Berlin Sans FB" w:hAnsi="Berlin Sans FB"/>
          <w:sz w:val="28"/>
          <w:szCs w:val="28"/>
        </w:rPr>
      </w:pPr>
      <w:r>
        <w:rPr>
          <w:rFonts w:ascii="Berlin Sans FB" w:hAnsi="Berlin Sans FB"/>
          <w:sz w:val="40"/>
          <w:szCs w:val="40"/>
        </w:rPr>
        <w:t xml:space="preserve">2024 </w:t>
      </w:r>
    </w:p>
    <w:p w14:paraId="7FC8D11F" w14:textId="21F681E1" w:rsidR="0053115F" w:rsidRDefault="00D51FDB" w:rsidP="0053115F">
      <w:pPr>
        <w:spacing w:after="0"/>
        <w:jc w:val="center"/>
        <w:rPr>
          <w:rFonts w:ascii="Berlin Sans FB" w:hAnsi="Berlin Sans FB"/>
          <w:sz w:val="28"/>
          <w:szCs w:val="28"/>
        </w:rPr>
      </w:pPr>
      <w:r>
        <w:rPr>
          <w:rFonts w:ascii="Berlin Sans FB" w:hAnsi="Berlin Sans FB"/>
          <w:sz w:val="28"/>
          <w:szCs w:val="28"/>
        </w:rPr>
        <w:t>Isabel Cristina España</w:t>
      </w:r>
      <w:r w:rsidR="00EF59D0">
        <w:rPr>
          <w:rFonts w:ascii="Berlin Sans FB" w:hAnsi="Berlin Sans FB"/>
          <w:sz w:val="28"/>
          <w:szCs w:val="28"/>
        </w:rPr>
        <w:t xml:space="preserve"> Villota</w:t>
      </w:r>
    </w:p>
    <w:p w14:paraId="2D99D16F" w14:textId="389CCDB9" w:rsidR="00D51FDB" w:rsidRDefault="00D51FDB" w:rsidP="0053115F">
      <w:pPr>
        <w:spacing w:after="0"/>
        <w:jc w:val="center"/>
        <w:rPr>
          <w:rFonts w:ascii="Berlin Sans FB" w:hAnsi="Berlin Sans FB"/>
          <w:sz w:val="28"/>
          <w:szCs w:val="28"/>
        </w:rPr>
      </w:pPr>
      <w:r>
        <w:rPr>
          <w:rFonts w:ascii="Berlin Sans FB" w:hAnsi="Berlin Sans FB"/>
          <w:sz w:val="28"/>
          <w:szCs w:val="28"/>
        </w:rPr>
        <w:t xml:space="preserve">Rubiel de </w:t>
      </w:r>
      <w:r w:rsidR="001A24AA">
        <w:rPr>
          <w:rFonts w:ascii="Berlin Sans FB" w:hAnsi="Berlin Sans FB"/>
          <w:sz w:val="28"/>
          <w:szCs w:val="28"/>
        </w:rPr>
        <w:t>Jesús</w:t>
      </w:r>
      <w:r>
        <w:rPr>
          <w:rFonts w:ascii="Berlin Sans FB" w:hAnsi="Berlin Sans FB"/>
          <w:sz w:val="28"/>
          <w:szCs w:val="28"/>
        </w:rPr>
        <w:t xml:space="preserve"> </w:t>
      </w:r>
      <w:r w:rsidR="00EF59D0">
        <w:rPr>
          <w:rFonts w:ascii="Berlin Sans FB" w:hAnsi="Berlin Sans FB"/>
          <w:sz w:val="28"/>
          <w:szCs w:val="28"/>
        </w:rPr>
        <w:t>Zuleta Carmona</w:t>
      </w:r>
    </w:p>
    <w:p w14:paraId="727D0C2B" w14:textId="2B1C090B" w:rsidR="00D51FDB" w:rsidRDefault="00D51FDB" w:rsidP="0053115F">
      <w:pPr>
        <w:spacing w:after="0"/>
        <w:jc w:val="center"/>
        <w:rPr>
          <w:rFonts w:ascii="Berlin Sans FB" w:hAnsi="Berlin Sans FB"/>
          <w:sz w:val="28"/>
          <w:szCs w:val="28"/>
        </w:rPr>
      </w:pPr>
      <w:r>
        <w:rPr>
          <w:rFonts w:ascii="Berlin Sans FB" w:hAnsi="Berlin Sans FB"/>
          <w:sz w:val="28"/>
          <w:szCs w:val="28"/>
        </w:rPr>
        <w:t xml:space="preserve">Oscar </w:t>
      </w:r>
      <w:r w:rsidR="001A24AA">
        <w:rPr>
          <w:rFonts w:ascii="Berlin Sans FB" w:hAnsi="Berlin Sans FB"/>
          <w:sz w:val="28"/>
          <w:szCs w:val="28"/>
        </w:rPr>
        <w:t>Andrés</w:t>
      </w:r>
      <w:r w:rsidR="00EF59D0">
        <w:rPr>
          <w:rFonts w:ascii="Berlin Sans FB" w:hAnsi="Berlin Sans FB"/>
          <w:sz w:val="28"/>
          <w:szCs w:val="28"/>
        </w:rPr>
        <w:t xml:space="preserve"> Acevedo Vargas</w:t>
      </w:r>
    </w:p>
    <w:p w14:paraId="0437B4DE" w14:textId="23A55AD5" w:rsidR="00D51FDB" w:rsidRDefault="00D51FDB" w:rsidP="0053115F">
      <w:pPr>
        <w:spacing w:after="0"/>
        <w:jc w:val="center"/>
        <w:rPr>
          <w:rFonts w:ascii="Berlin Sans FB" w:hAnsi="Berlin Sans FB"/>
          <w:sz w:val="28"/>
          <w:szCs w:val="28"/>
        </w:rPr>
      </w:pPr>
      <w:r>
        <w:rPr>
          <w:rFonts w:ascii="Berlin Sans FB" w:hAnsi="Berlin Sans FB"/>
          <w:sz w:val="28"/>
          <w:szCs w:val="28"/>
        </w:rPr>
        <w:t>Juan Carlos Burbano</w:t>
      </w:r>
      <w:r w:rsidR="00EF59D0">
        <w:rPr>
          <w:rFonts w:ascii="Berlin Sans FB" w:hAnsi="Berlin Sans FB"/>
          <w:sz w:val="28"/>
          <w:szCs w:val="28"/>
        </w:rPr>
        <w:t xml:space="preserve"> </w:t>
      </w:r>
    </w:p>
    <w:p w14:paraId="1EEE471E" w14:textId="026AAB58" w:rsidR="00D51FDB" w:rsidRDefault="00D51FDB" w:rsidP="00D51FDB">
      <w:pPr>
        <w:spacing w:after="0"/>
        <w:jc w:val="center"/>
        <w:rPr>
          <w:rFonts w:ascii="Berlin Sans FB" w:hAnsi="Berlin Sans FB"/>
          <w:sz w:val="28"/>
          <w:szCs w:val="28"/>
        </w:rPr>
      </w:pPr>
      <w:r>
        <w:rPr>
          <w:rFonts w:ascii="Berlin Sans FB" w:hAnsi="Berlin Sans FB"/>
          <w:sz w:val="28"/>
          <w:szCs w:val="28"/>
        </w:rPr>
        <w:t xml:space="preserve">Leonardo </w:t>
      </w:r>
      <w:r w:rsidR="0032426D">
        <w:rPr>
          <w:rFonts w:ascii="Berlin Sans FB" w:hAnsi="Berlin Sans FB"/>
          <w:sz w:val="28"/>
          <w:szCs w:val="28"/>
        </w:rPr>
        <w:t>Mayorga</w:t>
      </w:r>
    </w:p>
    <w:p w14:paraId="0FE26C88" w14:textId="77777777" w:rsidR="00D51FDB" w:rsidRDefault="00D51FDB" w:rsidP="00D51FDB">
      <w:pPr>
        <w:spacing w:after="0"/>
        <w:jc w:val="center"/>
        <w:rPr>
          <w:rFonts w:ascii="Berlin Sans FB" w:hAnsi="Berlin Sans FB"/>
          <w:sz w:val="28"/>
          <w:szCs w:val="28"/>
        </w:rPr>
      </w:pPr>
    </w:p>
    <w:p w14:paraId="21D18C20" w14:textId="77777777" w:rsidR="00D51FDB" w:rsidRDefault="00D51FDB" w:rsidP="00D51FDB">
      <w:pPr>
        <w:spacing w:after="0"/>
        <w:jc w:val="center"/>
        <w:rPr>
          <w:rFonts w:ascii="Berlin Sans FB" w:hAnsi="Berlin Sans FB"/>
          <w:sz w:val="28"/>
          <w:szCs w:val="28"/>
        </w:rPr>
      </w:pPr>
    </w:p>
    <w:p w14:paraId="1637B992" w14:textId="170DAEBC" w:rsidR="00D51FDB" w:rsidRPr="00D51FDB" w:rsidRDefault="002E7D8D" w:rsidP="00D51FDB">
      <w:pPr>
        <w:spacing w:after="0"/>
        <w:jc w:val="right"/>
        <w:rPr>
          <w:rFonts w:ascii="Berlin Sans FB" w:hAnsi="Berlin Sans FB"/>
          <w:sz w:val="28"/>
          <w:szCs w:val="28"/>
        </w:rPr>
      </w:pPr>
      <w:r w:rsidRPr="002E7D8D">
        <w:rPr>
          <w:rFonts w:ascii="Berlin Sans FB" w:hAnsi="Berlin Sans FB"/>
          <w:sz w:val="28"/>
          <w:szCs w:val="28"/>
        </w:rPr>
        <w:t>22</w:t>
      </w:r>
      <w:r w:rsidR="00D51FDB" w:rsidRPr="002E7D8D">
        <w:rPr>
          <w:rFonts w:ascii="Berlin Sans FB" w:hAnsi="Berlin Sans FB"/>
          <w:sz w:val="28"/>
          <w:szCs w:val="28"/>
        </w:rPr>
        <w:t xml:space="preserve"> d</w:t>
      </w:r>
      <w:r w:rsidRPr="002E7D8D">
        <w:rPr>
          <w:rFonts w:ascii="Berlin Sans FB" w:hAnsi="Berlin Sans FB"/>
          <w:sz w:val="28"/>
          <w:szCs w:val="28"/>
        </w:rPr>
        <w:t>e enero</w:t>
      </w:r>
      <w:r w:rsidR="00D51FDB" w:rsidRPr="002E7D8D">
        <w:rPr>
          <w:rFonts w:ascii="Berlin Sans FB" w:hAnsi="Berlin Sans FB"/>
          <w:sz w:val="28"/>
          <w:szCs w:val="28"/>
        </w:rPr>
        <w:t xml:space="preserve"> de 202</w:t>
      </w:r>
      <w:r w:rsidRPr="002E7D8D">
        <w:rPr>
          <w:rFonts w:ascii="Berlin Sans FB" w:hAnsi="Berlin Sans FB"/>
          <w:sz w:val="28"/>
          <w:szCs w:val="28"/>
        </w:rPr>
        <w:t>5</w:t>
      </w:r>
    </w:p>
    <w:p w14:paraId="089AA9AA" w14:textId="77777777" w:rsidR="003E3F4F" w:rsidRDefault="003E3F4F"/>
    <w:p w14:paraId="29154223" w14:textId="77777777" w:rsidR="003E3F4F" w:rsidRDefault="003E3F4F"/>
    <w:p w14:paraId="4D00F930" w14:textId="77777777" w:rsidR="003E3F4F" w:rsidRDefault="003E3F4F"/>
    <w:p w14:paraId="2085D81F" w14:textId="77777777" w:rsidR="003E3F4F" w:rsidRDefault="003E3F4F"/>
    <w:p w14:paraId="381536FB" w14:textId="77777777" w:rsidR="00171961" w:rsidRDefault="00171961"/>
    <w:p w14:paraId="74112A2E" w14:textId="7250148A" w:rsidR="00171961" w:rsidRPr="00F024CD" w:rsidRDefault="00F024CD" w:rsidP="00F024CD">
      <w:pPr>
        <w:spacing w:line="360" w:lineRule="auto"/>
        <w:jc w:val="both"/>
        <w:rPr>
          <w:rFonts w:ascii="Times New Roman" w:hAnsi="Times New Roman" w:cs="Times New Roman"/>
          <w:b/>
          <w:bCs/>
        </w:rPr>
      </w:pPr>
      <w:r>
        <w:rPr>
          <w:rFonts w:ascii="Times New Roman" w:hAnsi="Times New Roman" w:cs="Times New Roman"/>
          <w:b/>
          <w:bCs/>
        </w:rPr>
        <w:t xml:space="preserve">1. </w:t>
      </w:r>
      <w:r w:rsidR="08BB9A3E" w:rsidRPr="00F024CD">
        <w:rPr>
          <w:rFonts w:ascii="Times New Roman" w:hAnsi="Times New Roman" w:cs="Times New Roman"/>
          <w:b/>
          <w:bCs/>
        </w:rPr>
        <w:t>Introducción</w:t>
      </w:r>
    </w:p>
    <w:p w14:paraId="0857CCE6" w14:textId="0C3CC953" w:rsidR="00332449" w:rsidRPr="00C32851" w:rsidRDefault="00332449" w:rsidP="08BB9A3E">
      <w:pPr>
        <w:spacing w:line="360" w:lineRule="auto"/>
        <w:jc w:val="both"/>
        <w:rPr>
          <w:rFonts w:ascii="Times New Roman" w:eastAsia="Times New Roman" w:hAnsi="Times New Roman" w:cs="Times New Roman"/>
        </w:rPr>
      </w:pPr>
      <w:r w:rsidRPr="00C32851">
        <w:rPr>
          <w:rFonts w:ascii="Times New Roman" w:eastAsia="Times New Roman" w:hAnsi="Times New Roman" w:cs="Times New Roman"/>
        </w:rPr>
        <w:t xml:space="preserve">Este documento tiene como objetivo documentar de manera integral la experiencia del PLAN 70D en el sector transporte de Colombia, por lo que, aquí se describirá detalladamente el proceso de implementación del PLAN 70D, destacando las acciones de control aplicadas, las estadísticas relacionadas con los siniestros viales, la coordinación entre los diferentes actores involucrados y los principales resultados alcanzados. </w:t>
      </w:r>
    </w:p>
    <w:p w14:paraId="6B046A6E" w14:textId="12EA250D" w:rsidR="00171961" w:rsidRPr="00C32851" w:rsidRDefault="00171961" w:rsidP="08BB9A3E">
      <w:pPr>
        <w:spacing w:line="360" w:lineRule="auto"/>
        <w:jc w:val="both"/>
        <w:rPr>
          <w:rFonts w:ascii="Times New Roman" w:hAnsi="Times New Roman" w:cs="Times New Roman"/>
        </w:rPr>
      </w:pPr>
      <w:r w:rsidRPr="00C32851">
        <w:rPr>
          <w:rFonts w:ascii="Times New Roman" w:eastAsia="Times New Roman" w:hAnsi="Times New Roman" w:cs="Times New Roman"/>
        </w:rPr>
        <w:t xml:space="preserve">El </w:t>
      </w:r>
      <w:r w:rsidR="00332449" w:rsidRPr="00C32851">
        <w:rPr>
          <w:rFonts w:ascii="Times New Roman" w:eastAsia="Times New Roman" w:hAnsi="Times New Roman" w:cs="Times New Roman"/>
        </w:rPr>
        <w:t xml:space="preserve">PLAN 70D </w:t>
      </w:r>
      <w:r w:rsidRPr="00C32851">
        <w:rPr>
          <w:rFonts w:ascii="Times New Roman" w:eastAsia="Times New Roman" w:hAnsi="Times New Roman" w:cs="Times New Roman"/>
        </w:rPr>
        <w:t>es una estrategia liderada por la Agencia Nacional de Seguridad Vial (ANSV), en coordinación con los diferentes actores del sector transporte, entre est</w:t>
      </w:r>
      <w:r w:rsidR="00332449" w:rsidRPr="00C32851">
        <w:rPr>
          <w:rFonts w:ascii="Times New Roman" w:eastAsia="Times New Roman" w:hAnsi="Times New Roman" w:cs="Times New Roman"/>
        </w:rPr>
        <w:t>os: el Ministerio de Transporte;</w:t>
      </w:r>
      <w:r w:rsidRPr="00C32851">
        <w:rPr>
          <w:rFonts w:ascii="Times New Roman" w:eastAsia="Times New Roman" w:hAnsi="Times New Roman" w:cs="Times New Roman"/>
        </w:rPr>
        <w:t xml:space="preserve"> la</w:t>
      </w:r>
      <w:r w:rsidR="00332449" w:rsidRPr="00C32851">
        <w:rPr>
          <w:rFonts w:ascii="Times New Roman" w:eastAsia="Times New Roman" w:hAnsi="Times New Roman" w:cs="Times New Roman"/>
        </w:rPr>
        <w:t xml:space="preserve"> Superintendencia de Transporte;</w:t>
      </w:r>
      <w:r w:rsidRPr="00C32851">
        <w:rPr>
          <w:rFonts w:ascii="Times New Roman" w:eastAsia="Times New Roman" w:hAnsi="Times New Roman" w:cs="Times New Roman"/>
        </w:rPr>
        <w:t xml:space="preserve"> la Agencia nacional de Infraestructura</w:t>
      </w:r>
      <w:r w:rsidR="00332449" w:rsidRPr="00C32851">
        <w:rPr>
          <w:rFonts w:ascii="Times New Roman" w:eastAsia="Times New Roman" w:hAnsi="Times New Roman" w:cs="Times New Roman"/>
        </w:rPr>
        <w:t>;</w:t>
      </w:r>
      <w:r w:rsidRPr="00C32851">
        <w:rPr>
          <w:rFonts w:ascii="Times New Roman" w:eastAsia="Times New Roman" w:hAnsi="Times New Roman" w:cs="Times New Roman"/>
        </w:rPr>
        <w:t xml:space="preserve"> </w:t>
      </w:r>
      <w:r w:rsidR="00332449" w:rsidRPr="00C32851">
        <w:rPr>
          <w:rFonts w:ascii="Times New Roman" w:eastAsia="Times New Roman" w:hAnsi="Times New Roman" w:cs="Times New Roman"/>
        </w:rPr>
        <w:t>el Instituto Nacional de Vías;</w:t>
      </w:r>
      <w:r w:rsidRPr="00C32851">
        <w:rPr>
          <w:rFonts w:ascii="Times New Roman" w:eastAsia="Times New Roman" w:hAnsi="Times New Roman" w:cs="Times New Roman"/>
        </w:rPr>
        <w:t xml:space="preserve"> la Dirección de Tránsito y Transporte de la Policía Nacional. </w:t>
      </w:r>
    </w:p>
    <w:p w14:paraId="7103D341" w14:textId="1017295A" w:rsidR="00332449" w:rsidRPr="00C32851" w:rsidRDefault="00332449" w:rsidP="00332449">
      <w:pPr>
        <w:spacing w:line="360" w:lineRule="auto"/>
        <w:jc w:val="both"/>
        <w:rPr>
          <w:rFonts w:ascii="Times New Roman" w:hAnsi="Times New Roman" w:cs="Times New Roman"/>
        </w:rPr>
      </w:pPr>
      <w:r w:rsidRPr="00C32851">
        <w:rPr>
          <w:rFonts w:ascii="Times New Roman" w:hAnsi="Times New Roman" w:cs="Times New Roman"/>
        </w:rPr>
        <w:t xml:space="preserve">El PLAN 70D abarcó 70 días de despliegue institucional de las entidades del sector transporte en todo el territorio nacional, promoviendo la oferta y la presencia activa de las entidades. Este </w:t>
      </w:r>
      <w:r w:rsidR="00CF545C" w:rsidRPr="00C32851">
        <w:rPr>
          <w:rFonts w:ascii="Times New Roman" w:hAnsi="Times New Roman" w:cs="Times New Roman"/>
        </w:rPr>
        <w:t>PLAN</w:t>
      </w:r>
      <w:r w:rsidRPr="00C32851">
        <w:rPr>
          <w:rFonts w:ascii="Times New Roman" w:hAnsi="Times New Roman" w:cs="Times New Roman"/>
        </w:rPr>
        <w:t xml:space="preserve"> buscó involucrar a las autoridades locales y nacionales en la implementación de acciones de control correctivas, preventivas y pedagógicas en las vías, con el objetivo de mitigar y reducir los índices de siniestralidad vial. El periodo de operación del PLAN 70D se extendió del 31 de octubre de 2024 al 10 de enero de 2025, coincidiendo con la temporada decembrina, festividades y ferias, un momento crítico para la seguridad vial. Cabe resaltar que</w:t>
      </w:r>
      <w:r w:rsidR="00CF545C">
        <w:rPr>
          <w:rFonts w:ascii="Times New Roman" w:hAnsi="Times New Roman" w:cs="Times New Roman"/>
        </w:rPr>
        <w:t>,</w:t>
      </w:r>
      <w:r w:rsidRPr="00C32851">
        <w:rPr>
          <w:rFonts w:ascii="Times New Roman" w:hAnsi="Times New Roman" w:cs="Times New Roman"/>
        </w:rPr>
        <w:t xml:space="preserve"> el plan incorporó el “Plan Navidad”, el cual estuvo operativo específicamente desde el 1 de diciembre de 2024 hasta el 10 de enero de 2025. Durante este periodo, se intensificaron y reforzaron las acciones de control, enfocándose especialmente en las dinámicas propias de la temporada navideña y de fin de año.</w:t>
      </w:r>
    </w:p>
    <w:p w14:paraId="0A09E18B" w14:textId="48E03C01" w:rsidR="00C32851" w:rsidRPr="00D046FC" w:rsidRDefault="00C32851" w:rsidP="08BB9A3E">
      <w:pPr>
        <w:spacing w:line="360" w:lineRule="auto"/>
        <w:jc w:val="both"/>
        <w:rPr>
          <w:rFonts w:ascii="Times New Roman" w:hAnsi="Times New Roman" w:cs="Times New Roman"/>
          <w:color w:val="000000" w:themeColor="text1"/>
        </w:rPr>
      </w:pPr>
      <w:r w:rsidRPr="00C32851">
        <w:rPr>
          <w:rFonts w:ascii="Times New Roman" w:hAnsi="Times New Roman" w:cs="Times New Roman"/>
          <w:color w:val="000000" w:themeColor="text1"/>
        </w:rPr>
        <w:t xml:space="preserve">De acuerdo con lo expuesto anteriormente, la documentación del </w:t>
      </w:r>
      <w:r w:rsidRPr="00C32851">
        <w:rPr>
          <w:rFonts w:ascii="Times New Roman" w:hAnsi="Times New Roman" w:cs="Times New Roman"/>
        </w:rPr>
        <w:t xml:space="preserve">PLAN 70D </w:t>
      </w:r>
      <w:r w:rsidRPr="00C32851">
        <w:rPr>
          <w:rFonts w:ascii="Times New Roman" w:hAnsi="Times New Roman" w:cs="Times New Roman"/>
          <w:color w:val="000000" w:themeColor="text1"/>
        </w:rPr>
        <w:t>implicó el uso de diversas herramientas metodológicas. En primer lugar, se llevó a cabo un análisis descriptivo sobre el diseño del Plan, destacando sus objetivos y componentes principales. En segundo lugar, se describ</w:t>
      </w:r>
      <w:r>
        <w:rPr>
          <w:rFonts w:ascii="Times New Roman" w:hAnsi="Times New Roman" w:cs="Times New Roman"/>
          <w:color w:val="000000" w:themeColor="text1"/>
        </w:rPr>
        <w:t>ió</w:t>
      </w:r>
      <w:r w:rsidRPr="00C32851">
        <w:rPr>
          <w:rFonts w:ascii="Times New Roman" w:hAnsi="Times New Roman" w:cs="Times New Roman"/>
          <w:color w:val="000000" w:themeColor="text1"/>
        </w:rPr>
        <w:t xml:space="preserve"> detalladamente el proceso de implementación del PLAN, incluyendo la percepción de los actores clave involucrados. Posteriormente, se realiz</w:t>
      </w:r>
      <w:r>
        <w:rPr>
          <w:rFonts w:ascii="Times New Roman" w:hAnsi="Times New Roman" w:cs="Times New Roman"/>
          <w:color w:val="000000" w:themeColor="text1"/>
        </w:rPr>
        <w:t>ó</w:t>
      </w:r>
      <w:r w:rsidRPr="00C32851">
        <w:rPr>
          <w:rFonts w:ascii="Times New Roman" w:hAnsi="Times New Roman" w:cs="Times New Roman"/>
          <w:color w:val="000000" w:themeColor="text1"/>
        </w:rPr>
        <w:t xml:space="preserve"> un análisis del impacto del PLAN 70D, con especial énfasis en su incidencia en la reducción de las cifras de siniestralidad vial. </w:t>
      </w:r>
      <w:r w:rsidR="000E0FCE">
        <w:rPr>
          <w:rFonts w:ascii="Times New Roman" w:hAnsi="Times New Roman" w:cs="Times New Roman"/>
          <w:color w:val="000000" w:themeColor="text1"/>
        </w:rPr>
        <w:t>Para finalizar</w:t>
      </w:r>
      <w:r w:rsidRPr="00C32851">
        <w:rPr>
          <w:rFonts w:ascii="Times New Roman" w:hAnsi="Times New Roman" w:cs="Times New Roman"/>
          <w:color w:val="000000" w:themeColor="text1"/>
        </w:rPr>
        <w:t>,</w:t>
      </w:r>
      <w:r w:rsidR="000E0FCE">
        <w:rPr>
          <w:rFonts w:ascii="Times New Roman" w:hAnsi="Times New Roman" w:cs="Times New Roman"/>
          <w:color w:val="000000" w:themeColor="text1"/>
        </w:rPr>
        <w:t xml:space="preserve"> el análisis</w:t>
      </w:r>
      <w:r w:rsidRPr="00C32851">
        <w:rPr>
          <w:rFonts w:ascii="Times New Roman" w:hAnsi="Times New Roman" w:cs="Times New Roman"/>
          <w:color w:val="000000" w:themeColor="text1"/>
        </w:rPr>
        <w:t xml:space="preserve"> se </w:t>
      </w:r>
      <w:r>
        <w:rPr>
          <w:rFonts w:ascii="Times New Roman" w:hAnsi="Times New Roman" w:cs="Times New Roman"/>
          <w:color w:val="000000" w:themeColor="text1"/>
        </w:rPr>
        <w:t>enfocó</w:t>
      </w:r>
      <w:r w:rsidRPr="00C32851">
        <w:rPr>
          <w:rFonts w:ascii="Times New Roman" w:hAnsi="Times New Roman" w:cs="Times New Roman"/>
          <w:color w:val="000000" w:themeColor="text1"/>
        </w:rPr>
        <w:t xml:space="preserve"> </w:t>
      </w:r>
      <w:r>
        <w:rPr>
          <w:rFonts w:ascii="Times New Roman" w:hAnsi="Times New Roman" w:cs="Times New Roman"/>
          <w:color w:val="000000" w:themeColor="text1"/>
        </w:rPr>
        <w:t>en el “</w:t>
      </w:r>
      <w:r w:rsidRPr="00C32851">
        <w:rPr>
          <w:rFonts w:ascii="Times New Roman" w:hAnsi="Times New Roman" w:cs="Times New Roman"/>
          <w:color w:val="000000" w:themeColor="text1"/>
        </w:rPr>
        <w:t>Plan Navidad</w:t>
      </w:r>
      <w:r>
        <w:rPr>
          <w:rFonts w:ascii="Times New Roman" w:hAnsi="Times New Roman" w:cs="Times New Roman"/>
          <w:color w:val="000000" w:themeColor="text1"/>
        </w:rPr>
        <w:t>”</w:t>
      </w:r>
      <w:r w:rsidRPr="00C32851">
        <w:rPr>
          <w:rFonts w:ascii="Times New Roman" w:hAnsi="Times New Roman" w:cs="Times New Roman"/>
          <w:color w:val="000000" w:themeColor="text1"/>
        </w:rPr>
        <w:t>, considerado como una nueva fase dentro del PLAN 70D, resaltando sus características y logros específicos</w:t>
      </w:r>
      <w:r w:rsidR="000E0FCE">
        <w:rPr>
          <w:rFonts w:ascii="Times New Roman" w:hAnsi="Times New Roman" w:cs="Times New Roman"/>
          <w:color w:val="000000" w:themeColor="text1"/>
        </w:rPr>
        <w:t xml:space="preserve">. También, se realizó un análisis comparado de las cifras reportadas en el Plan Navidad 2023 vs el Plan navidad 2024. </w:t>
      </w:r>
    </w:p>
    <w:p w14:paraId="3F7793A2" w14:textId="38854438" w:rsidR="08BB9A3E" w:rsidRPr="001D5133" w:rsidRDefault="08BB9A3E" w:rsidP="08BB9A3E">
      <w:pPr>
        <w:spacing w:line="360" w:lineRule="auto"/>
        <w:jc w:val="both"/>
        <w:rPr>
          <w:rFonts w:ascii="Times New Roman" w:hAnsi="Times New Roman" w:cs="Times New Roman"/>
          <w:b/>
          <w:bCs/>
        </w:rPr>
      </w:pPr>
    </w:p>
    <w:p w14:paraId="59D224DE" w14:textId="724579D9" w:rsidR="009B1169" w:rsidRPr="00D046FC" w:rsidRDefault="009B1169" w:rsidP="009B1169">
      <w:pPr>
        <w:spacing w:line="360" w:lineRule="auto"/>
        <w:rPr>
          <w:rFonts w:ascii="Times New Roman" w:hAnsi="Times New Roman" w:cs="Times New Roman"/>
          <w:b/>
          <w:bCs/>
        </w:rPr>
      </w:pPr>
      <w:r w:rsidRPr="00D046FC">
        <w:rPr>
          <w:rFonts w:ascii="Times New Roman" w:hAnsi="Times New Roman" w:cs="Times New Roman"/>
          <w:b/>
          <w:bCs/>
        </w:rPr>
        <w:t xml:space="preserve">2. Documentando el </w:t>
      </w:r>
      <w:r w:rsidR="00A57B9D" w:rsidRPr="00D046FC">
        <w:rPr>
          <w:rFonts w:ascii="Times New Roman" w:hAnsi="Times New Roman" w:cs="Times New Roman"/>
          <w:b/>
          <w:bCs/>
        </w:rPr>
        <w:t>PLAN</w:t>
      </w:r>
      <w:r w:rsidRPr="00D046FC">
        <w:rPr>
          <w:rFonts w:ascii="Times New Roman" w:hAnsi="Times New Roman" w:cs="Times New Roman"/>
          <w:b/>
          <w:bCs/>
        </w:rPr>
        <w:t xml:space="preserve"> 70D</w:t>
      </w:r>
    </w:p>
    <w:p w14:paraId="5E282611" w14:textId="23F63526" w:rsidR="009B1169" w:rsidRPr="001D5133" w:rsidRDefault="009B1169" w:rsidP="009B1169">
      <w:pPr>
        <w:spacing w:line="360" w:lineRule="auto"/>
        <w:rPr>
          <w:rFonts w:ascii="Times New Roman" w:hAnsi="Times New Roman" w:cs="Times New Roman"/>
          <w:b/>
          <w:bCs/>
        </w:rPr>
      </w:pPr>
      <w:r w:rsidRPr="00D046FC">
        <w:rPr>
          <w:rFonts w:ascii="Times New Roman" w:hAnsi="Times New Roman" w:cs="Times New Roman"/>
          <w:b/>
          <w:bCs/>
        </w:rPr>
        <w:t>2.1 Antecedentes</w:t>
      </w:r>
    </w:p>
    <w:p w14:paraId="4B67598F" w14:textId="77777777" w:rsidR="003C3AED" w:rsidRPr="003C3AED" w:rsidRDefault="003C3AED" w:rsidP="003C3AED">
      <w:pPr>
        <w:spacing w:line="360" w:lineRule="auto"/>
        <w:jc w:val="both"/>
        <w:rPr>
          <w:rFonts w:ascii="Times New Roman" w:hAnsi="Times New Roman" w:cs="Times New Roman"/>
        </w:rPr>
      </w:pPr>
      <w:r w:rsidRPr="003C3AED">
        <w:rPr>
          <w:rFonts w:ascii="Times New Roman" w:hAnsi="Times New Roman" w:cs="Times New Roman"/>
        </w:rPr>
        <w:t>El PLAN 70D fue diseñado como una estrategia integral para abordar el aumento crítico de siniestros viales durante la temporada vacacional de noviembre, diciembre y enero, conocida como el “éxodo vacacional”, y las festividades de fin de año, periodos con un registro histórico alarmante de pérdidas humanas. Según datos del Observatorio Nacional de Seguridad Vial (ONSV), en 2023 se reportaron 1.529 fallecimientos por siniestros viales, lo que representó un incremento del 3% en comparación con 2022, contraviniendo las expectativas de reducción.</w:t>
      </w:r>
    </w:p>
    <w:p w14:paraId="611FC9B9" w14:textId="1156F24D" w:rsidR="003C3AED" w:rsidRPr="001D5133" w:rsidRDefault="003C3AED" w:rsidP="003C3AED">
      <w:pPr>
        <w:spacing w:line="360" w:lineRule="auto"/>
        <w:jc w:val="both"/>
        <w:rPr>
          <w:rFonts w:ascii="Times New Roman" w:hAnsi="Times New Roman" w:cs="Times New Roman"/>
        </w:rPr>
      </w:pPr>
      <w:r w:rsidRPr="003C3AED">
        <w:rPr>
          <w:rFonts w:ascii="Times New Roman" w:hAnsi="Times New Roman" w:cs="Times New Roman"/>
        </w:rPr>
        <w:t>La falta de controles operativos ha propiciado conductas de riesgo que agravan la seguridad vial, tales como el exceso de velocidad, la conducción bajo los efectos del alcohol y la falta de manteni</w:t>
      </w:r>
      <w:r w:rsidR="00DD4058">
        <w:rPr>
          <w:rFonts w:ascii="Times New Roman" w:hAnsi="Times New Roman" w:cs="Times New Roman"/>
        </w:rPr>
        <w:t>miento técnico de los vehículos;</w:t>
      </w:r>
      <w:r w:rsidRPr="003C3AED">
        <w:rPr>
          <w:rFonts w:ascii="Times New Roman" w:hAnsi="Times New Roman" w:cs="Times New Roman"/>
        </w:rPr>
        <w:t xml:space="preserve"> acciones</w:t>
      </w:r>
      <w:r w:rsidR="00DD4058">
        <w:rPr>
          <w:rFonts w:ascii="Times New Roman" w:hAnsi="Times New Roman" w:cs="Times New Roman"/>
        </w:rPr>
        <w:t xml:space="preserve"> que</w:t>
      </w:r>
      <w:r w:rsidRPr="003C3AED">
        <w:rPr>
          <w:rFonts w:ascii="Times New Roman" w:hAnsi="Times New Roman" w:cs="Times New Roman"/>
        </w:rPr>
        <w:t xml:space="preserve"> contribuyen significativamente al aumento de siniestros.</w:t>
      </w:r>
      <w:r w:rsidR="00DD4058">
        <w:rPr>
          <w:rFonts w:ascii="Times New Roman" w:hAnsi="Times New Roman" w:cs="Times New Roman"/>
        </w:rPr>
        <w:t xml:space="preserve"> Por lo tanto, e</w:t>
      </w:r>
      <w:r w:rsidRPr="003C3AED">
        <w:rPr>
          <w:rFonts w:ascii="Times New Roman" w:hAnsi="Times New Roman" w:cs="Times New Roman"/>
        </w:rPr>
        <w:t>nmarcado dentro del Plan Nacional de Seguridad Vial (PNSV), el PLAN 70D busc</w:t>
      </w:r>
      <w:r w:rsidR="00444032">
        <w:rPr>
          <w:rFonts w:ascii="Times New Roman" w:hAnsi="Times New Roman" w:cs="Times New Roman"/>
        </w:rPr>
        <w:t>ó</w:t>
      </w:r>
      <w:r w:rsidRPr="003C3AED">
        <w:rPr>
          <w:rFonts w:ascii="Times New Roman" w:hAnsi="Times New Roman" w:cs="Times New Roman"/>
        </w:rPr>
        <w:t xml:space="preserve"> fortalecer la vigilancia, promover el cumplimiento de la normativa y fomentar la cultura del autocuidado y el respeto por las normas de tránsito. A través de estas acciones, el plan t</w:t>
      </w:r>
      <w:r w:rsidR="00444032">
        <w:rPr>
          <w:rFonts w:ascii="Times New Roman" w:hAnsi="Times New Roman" w:cs="Times New Roman"/>
        </w:rPr>
        <w:t>uvo</w:t>
      </w:r>
      <w:r w:rsidRPr="003C3AED">
        <w:rPr>
          <w:rFonts w:ascii="Times New Roman" w:hAnsi="Times New Roman" w:cs="Times New Roman"/>
        </w:rPr>
        <w:t xml:space="preserve"> como objetivo principal reducir los siniestros viales y sus consecuencias.</w:t>
      </w:r>
    </w:p>
    <w:p w14:paraId="4BC5296C" w14:textId="6E607A67" w:rsidR="009B1169" w:rsidRPr="001D5133" w:rsidRDefault="08BB9A3E" w:rsidP="009B1169">
      <w:pPr>
        <w:spacing w:line="360" w:lineRule="auto"/>
        <w:rPr>
          <w:rFonts w:ascii="Times New Roman" w:hAnsi="Times New Roman" w:cs="Times New Roman"/>
          <w:b/>
          <w:bCs/>
        </w:rPr>
      </w:pPr>
      <w:r w:rsidRPr="001D5133">
        <w:rPr>
          <w:rFonts w:ascii="Times New Roman" w:hAnsi="Times New Roman" w:cs="Times New Roman"/>
          <w:b/>
          <w:bCs/>
        </w:rPr>
        <w:t xml:space="preserve">2.2 </w:t>
      </w:r>
      <w:r w:rsidR="00EF63C4" w:rsidRPr="001D5133">
        <w:rPr>
          <w:rFonts w:ascii="Times New Roman" w:hAnsi="Times New Roman" w:cs="Times New Roman"/>
          <w:b/>
          <w:bCs/>
        </w:rPr>
        <w:t xml:space="preserve">PLAN </w:t>
      </w:r>
      <w:r w:rsidRPr="001D5133">
        <w:rPr>
          <w:rFonts w:ascii="Times New Roman" w:hAnsi="Times New Roman" w:cs="Times New Roman"/>
          <w:b/>
          <w:bCs/>
        </w:rPr>
        <w:t xml:space="preserve">70D – 2024 </w:t>
      </w:r>
    </w:p>
    <w:p w14:paraId="62959EFD" w14:textId="315131B5" w:rsidR="009B1169" w:rsidRDefault="005D3E1E" w:rsidP="005D3E1E">
      <w:pPr>
        <w:spacing w:line="360" w:lineRule="auto"/>
        <w:jc w:val="both"/>
        <w:rPr>
          <w:rFonts w:ascii="Times New Roman" w:eastAsia="Times New Roman" w:hAnsi="Times New Roman" w:cs="Times New Roman"/>
          <w:color w:val="000000" w:themeColor="text1"/>
        </w:rPr>
      </w:pPr>
      <w:r w:rsidRPr="005D3E1E">
        <w:rPr>
          <w:rFonts w:ascii="Times New Roman" w:hAnsi="Times New Roman" w:cs="Times New Roman"/>
        </w:rPr>
        <w:t xml:space="preserve">Para la implementación del PLAN 70D, las principales autoridades del sector transporte, como el Ministerio de Transporte, la Agencia Nacional de Seguridad Vial, la Superintendencia de Transporte y la Dirección de Tránsito y Transporte (DITRA), emitieron el 28 de octubre de 2024 la Circular Conjunta 058 de 2024.  En este documento se exhortó a las autoridades que integran el Sistema Nacional de Transporte al: </w:t>
      </w:r>
      <w:r w:rsidR="08BB9A3E" w:rsidRPr="005D3E1E">
        <w:rPr>
          <w:rFonts w:ascii="Times New Roman" w:eastAsia="Times New Roman" w:hAnsi="Times New Roman" w:cs="Times New Roman"/>
          <w:color w:val="000000" w:themeColor="text1"/>
        </w:rPr>
        <w:t xml:space="preserve">“Diseño y ejecución [de] medidas orientadas a la vigilancia y el control para el cumplimiento de las normas de tránsito y transporte en materia de seguridad vial, con enfoque de sistema seguro, orientadas a la </w:t>
      </w:r>
      <w:r>
        <w:rPr>
          <w:rFonts w:ascii="Times New Roman" w:eastAsia="Times New Roman" w:hAnsi="Times New Roman" w:cs="Times New Roman"/>
          <w:color w:val="000000" w:themeColor="text1"/>
        </w:rPr>
        <w:t>prevención de siniestros viales</w:t>
      </w:r>
      <w:r w:rsidR="08BB9A3E" w:rsidRPr="005D3E1E">
        <w:rPr>
          <w:rFonts w:ascii="Times New Roman" w:eastAsia="Times New Roman" w:hAnsi="Times New Roman" w:cs="Times New Roman"/>
          <w:color w:val="000000" w:themeColor="text1"/>
        </w:rPr>
        <w:t xml:space="preserve"> (…)”. </w:t>
      </w:r>
    </w:p>
    <w:p w14:paraId="0A6FD415" w14:textId="1825C257" w:rsidR="009B1169" w:rsidRPr="001D5133" w:rsidRDefault="005D3E1E" w:rsidP="005D3E1E">
      <w:pPr>
        <w:spacing w:line="360" w:lineRule="auto"/>
        <w:jc w:val="both"/>
        <w:rPr>
          <w:rFonts w:ascii="Times New Roman" w:eastAsia="Times New Roman" w:hAnsi="Times New Roman" w:cs="Times New Roman"/>
          <w:color w:val="000000" w:themeColor="text1"/>
        </w:rPr>
      </w:pPr>
      <w:r w:rsidRPr="005D3E1E">
        <w:rPr>
          <w:rFonts w:ascii="Times New Roman" w:eastAsia="Times New Roman" w:hAnsi="Times New Roman" w:cs="Times New Roman"/>
          <w:color w:val="000000" w:themeColor="text1"/>
        </w:rPr>
        <w:t>La Circular 058 estableció, entre otros aspectos, las responsabilidades de las autoridades de tránsito, tales como:</w:t>
      </w:r>
      <w:r w:rsidR="08BB9A3E" w:rsidRPr="001D5133">
        <w:rPr>
          <w:rFonts w:ascii="Times New Roman" w:eastAsia="Times New Roman" w:hAnsi="Times New Roman" w:cs="Times New Roman"/>
          <w:color w:val="000000" w:themeColor="text1"/>
        </w:rPr>
        <w:t xml:space="preserve"> i) la identificación de puntos </w:t>
      </w:r>
      <w:r w:rsidR="00D118C6" w:rsidRPr="001D5133">
        <w:rPr>
          <w:rFonts w:ascii="Times New Roman" w:eastAsia="Times New Roman" w:hAnsi="Times New Roman" w:cs="Times New Roman"/>
          <w:color w:val="000000" w:themeColor="text1"/>
        </w:rPr>
        <w:t>críticos</w:t>
      </w:r>
      <w:r>
        <w:rPr>
          <w:rFonts w:ascii="Times New Roman" w:eastAsia="Times New Roman" w:hAnsi="Times New Roman" w:cs="Times New Roman"/>
          <w:color w:val="000000" w:themeColor="text1"/>
        </w:rPr>
        <w:t>;</w:t>
      </w:r>
      <w:r w:rsidR="08BB9A3E" w:rsidRPr="001D5133">
        <w:rPr>
          <w:rFonts w:ascii="Times New Roman" w:eastAsia="Times New Roman" w:hAnsi="Times New Roman" w:cs="Times New Roman"/>
          <w:color w:val="000000" w:themeColor="text1"/>
        </w:rPr>
        <w:t xml:space="preserve"> ii) c</w:t>
      </w:r>
      <w:r>
        <w:rPr>
          <w:rFonts w:ascii="Times New Roman" w:eastAsia="Times New Roman" w:hAnsi="Times New Roman" w:cs="Times New Roman"/>
          <w:color w:val="000000" w:themeColor="text1"/>
        </w:rPr>
        <w:t>ampañas de sensibilización vial;</w:t>
      </w:r>
      <w:r w:rsidR="08BB9A3E" w:rsidRPr="001D5133">
        <w:rPr>
          <w:rFonts w:ascii="Times New Roman" w:eastAsia="Times New Roman" w:hAnsi="Times New Roman" w:cs="Times New Roman"/>
          <w:color w:val="000000" w:themeColor="text1"/>
        </w:rPr>
        <w:t xml:space="preserve"> iii) la planificación y ejecución de acciones de vigilancia y control para el fortalecimie</w:t>
      </w:r>
      <w:r w:rsidR="00444032">
        <w:rPr>
          <w:rFonts w:ascii="Times New Roman" w:eastAsia="Times New Roman" w:hAnsi="Times New Roman" w:cs="Times New Roman"/>
          <w:color w:val="000000" w:themeColor="text1"/>
        </w:rPr>
        <w:t>nto de los controles operativos. Lo anterior,</w:t>
      </w:r>
      <w:r w:rsidR="08BB9A3E" w:rsidRPr="001D5133">
        <w:rPr>
          <w:rFonts w:ascii="Times New Roman" w:eastAsia="Times New Roman" w:hAnsi="Times New Roman" w:cs="Times New Roman"/>
          <w:color w:val="000000" w:themeColor="text1"/>
        </w:rPr>
        <w:t xml:space="preserve"> con énfasis en mitigar </w:t>
      </w:r>
      <w:r w:rsidR="00444032">
        <w:rPr>
          <w:rFonts w:ascii="Times New Roman" w:eastAsia="Times New Roman" w:hAnsi="Times New Roman" w:cs="Times New Roman"/>
          <w:color w:val="000000" w:themeColor="text1"/>
        </w:rPr>
        <w:t xml:space="preserve">las </w:t>
      </w:r>
      <w:r w:rsidR="08BB9A3E" w:rsidRPr="001D5133">
        <w:rPr>
          <w:rFonts w:ascii="Times New Roman" w:eastAsia="Times New Roman" w:hAnsi="Times New Roman" w:cs="Times New Roman"/>
          <w:color w:val="000000" w:themeColor="text1"/>
        </w:rPr>
        <w:t>conductas de mayor rie</w:t>
      </w:r>
      <w:r w:rsidR="00444032">
        <w:rPr>
          <w:rFonts w:ascii="Times New Roman" w:eastAsia="Times New Roman" w:hAnsi="Times New Roman" w:cs="Times New Roman"/>
          <w:color w:val="000000" w:themeColor="text1"/>
        </w:rPr>
        <w:t xml:space="preserve">sgo como: control </w:t>
      </w:r>
      <w:r w:rsidR="00444032">
        <w:rPr>
          <w:rFonts w:ascii="Times New Roman" w:eastAsia="Times New Roman" w:hAnsi="Times New Roman" w:cs="Times New Roman"/>
          <w:color w:val="000000" w:themeColor="text1"/>
        </w:rPr>
        <w:lastRenderedPageBreak/>
        <w:t xml:space="preserve">documental; </w:t>
      </w:r>
      <w:r w:rsidR="08BB9A3E" w:rsidRPr="001D5133">
        <w:rPr>
          <w:rFonts w:ascii="Times New Roman" w:eastAsia="Times New Roman" w:hAnsi="Times New Roman" w:cs="Times New Roman"/>
          <w:color w:val="000000" w:themeColor="text1"/>
        </w:rPr>
        <w:t>de velocidad</w:t>
      </w:r>
      <w:r w:rsidR="00444032">
        <w:rPr>
          <w:rFonts w:ascii="Times New Roman" w:eastAsia="Times New Roman" w:hAnsi="Times New Roman" w:cs="Times New Roman"/>
          <w:color w:val="000000" w:themeColor="text1"/>
        </w:rPr>
        <w:t>; embriaguez;</w:t>
      </w:r>
      <w:r w:rsidR="08BB9A3E" w:rsidRPr="001D5133">
        <w:rPr>
          <w:rFonts w:ascii="Times New Roman" w:eastAsia="Times New Roman" w:hAnsi="Times New Roman" w:cs="Times New Roman"/>
          <w:color w:val="000000" w:themeColor="text1"/>
        </w:rPr>
        <w:t xml:space="preserve"> técnico mecánicas</w:t>
      </w:r>
      <w:r w:rsidR="00444032">
        <w:rPr>
          <w:rFonts w:ascii="Times New Roman" w:eastAsia="Times New Roman" w:hAnsi="Times New Roman" w:cs="Times New Roman"/>
          <w:color w:val="000000" w:themeColor="text1"/>
        </w:rPr>
        <w:t>;</w:t>
      </w:r>
      <w:r w:rsidR="08BB9A3E" w:rsidRPr="001D5133">
        <w:rPr>
          <w:rFonts w:ascii="Times New Roman" w:eastAsia="Times New Roman" w:hAnsi="Times New Roman" w:cs="Times New Roman"/>
          <w:color w:val="000000" w:themeColor="text1"/>
        </w:rPr>
        <w:t xml:space="preserve"> entre otros. </w:t>
      </w:r>
      <w:r w:rsidR="00444032">
        <w:rPr>
          <w:rFonts w:ascii="Times New Roman" w:eastAsia="Times New Roman" w:hAnsi="Times New Roman" w:cs="Times New Roman"/>
          <w:color w:val="000000" w:themeColor="text1"/>
        </w:rPr>
        <w:t>Además, a</w:t>
      </w:r>
      <w:r w:rsidR="08BB9A3E" w:rsidRPr="001D5133">
        <w:rPr>
          <w:rFonts w:ascii="Times New Roman" w:eastAsia="Times New Roman" w:hAnsi="Times New Roman" w:cs="Times New Roman"/>
          <w:color w:val="000000" w:themeColor="text1"/>
        </w:rPr>
        <w:t>l mismo tiempo, instó a las autoridades a robustecer la articulación en los territorios.</w:t>
      </w:r>
    </w:p>
    <w:p w14:paraId="3D0D9470" w14:textId="2931AE67" w:rsidR="00444032" w:rsidRPr="00171961" w:rsidRDefault="00444032" w:rsidP="0044403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 consecuencia, e</w:t>
      </w:r>
      <w:r w:rsidRPr="00444032">
        <w:rPr>
          <w:rFonts w:ascii="Times New Roman" w:hAnsi="Times New Roman" w:cs="Times New Roman"/>
          <w:color w:val="000000" w:themeColor="text1"/>
        </w:rPr>
        <w:t xml:space="preserve">n cumplimiento de la Circular 058 de 2024, los cuerpos operativos de los organismos de tránsito y la DITRA de la Policía Nacional, en coordinación con las entidades del Sistema Nacional de Transporte, </w:t>
      </w:r>
      <w:r>
        <w:rPr>
          <w:rFonts w:ascii="Times New Roman" w:hAnsi="Times New Roman" w:cs="Times New Roman"/>
          <w:color w:val="000000" w:themeColor="text1"/>
        </w:rPr>
        <w:t>realizaron</w:t>
      </w:r>
      <w:r w:rsidRPr="00444032">
        <w:rPr>
          <w:rFonts w:ascii="Times New Roman" w:hAnsi="Times New Roman" w:cs="Times New Roman"/>
          <w:color w:val="000000" w:themeColor="text1"/>
        </w:rPr>
        <w:t xml:space="preserve"> las siguientes acciones dentro de sus competencias:</w:t>
      </w:r>
      <w:r w:rsidR="009B1169" w:rsidRPr="001D5133">
        <w:rPr>
          <w:rFonts w:ascii="Times New Roman" w:hAnsi="Times New Roman" w:cs="Times New Roman"/>
          <w:color w:val="000000" w:themeColor="text1"/>
          <w:shd w:val="clear" w:color="auto" w:fill="FFFFFF"/>
        </w:rPr>
        <w:t xml:space="preserve"> i) acciones de vigilancia y control al cumplimiento de las normas de tránsito y transporte, </w:t>
      </w:r>
      <w:r>
        <w:rPr>
          <w:rFonts w:ascii="Times New Roman" w:hAnsi="Times New Roman" w:cs="Times New Roman"/>
          <w:color w:val="000000" w:themeColor="text1"/>
          <w:shd w:val="clear" w:color="auto" w:fill="FFFFFF"/>
        </w:rPr>
        <w:t xml:space="preserve">especialmente, </w:t>
      </w:r>
      <w:r w:rsidR="009B1169" w:rsidRPr="001D5133">
        <w:rPr>
          <w:rFonts w:ascii="Times New Roman" w:hAnsi="Times New Roman" w:cs="Times New Roman"/>
          <w:color w:val="000000" w:themeColor="text1"/>
          <w:shd w:val="clear" w:color="auto" w:fill="FFFFFF"/>
        </w:rPr>
        <w:t xml:space="preserve">en los tramos críticos de mayor siniestralidad, con énfasis en los fines de semana, puentes festivos y demás festividades,  asociadas a la temporada de navidad y fin de año; ii) acciones pedagógicas en vía, dirigidas a fomentar el respeto por las normas de tránsito y el autocuidado de los actores viales; iii) </w:t>
      </w:r>
      <w:r w:rsidR="08BB9A3E" w:rsidRPr="001D5133">
        <w:rPr>
          <w:rFonts w:ascii="Times New Roman" w:hAnsi="Times New Roman" w:cs="Times New Roman"/>
          <w:color w:val="000000" w:themeColor="text1"/>
        </w:rPr>
        <w:t> Inspecciones viales, mediante la verificación del estado de las vías y la intervención en tramos o puntos críticos, con el objetivo de mejorar las condiciones de movilidad y segu</w:t>
      </w:r>
      <w:r>
        <w:rPr>
          <w:rFonts w:ascii="Times New Roman" w:hAnsi="Times New Roman" w:cs="Times New Roman"/>
          <w:color w:val="000000" w:themeColor="text1"/>
        </w:rPr>
        <w:t>ridad vial. Estas acciones contaro</w:t>
      </w:r>
      <w:r w:rsidRPr="00444032">
        <w:rPr>
          <w:rFonts w:ascii="Times New Roman" w:hAnsi="Times New Roman" w:cs="Times New Roman"/>
          <w:color w:val="000000" w:themeColor="text1"/>
        </w:rPr>
        <w:t>n con el acompañamiento y respaldo de las entidades del Sistema Nacional de Transporte presentes en el territorio, asegurando así un enfoque integral y coordinado en la prevención de siniestros viales.</w:t>
      </w:r>
    </w:p>
    <w:p w14:paraId="540380D1" w14:textId="2379BC9F" w:rsidR="009B1169" w:rsidRPr="00F024CD" w:rsidRDefault="009B1169" w:rsidP="00F024CD">
      <w:pPr>
        <w:spacing w:line="360" w:lineRule="auto"/>
        <w:rPr>
          <w:rFonts w:ascii="Times New Roman" w:hAnsi="Times New Roman" w:cs="Times New Roman"/>
          <w:b/>
          <w:bCs/>
        </w:rPr>
      </w:pPr>
      <w:r w:rsidRPr="00F024CD">
        <w:rPr>
          <w:rFonts w:ascii="Times New Roman" w:hAnsi="Times New Roman" w:cs="Times New Roman"/>
          <w:b/>
          <w:bCs/>
        </w:rPr>
        <w:t xml:space="preserve"> </w:t>
      </w:r>
      <w:r w:rsidR="00F024CD">
        <w:rPr>
          <w:rFonts w:ascii="Times New Roman" w:hAnsi="Times New Roman" w:cs="Times New Roman"/>
          <w:b/>
          <w:bCs/>
        </w:rPr>
        <w:t xml:space="preserve">3. </w:t>
      </w:r>
      <w:r w:rsidRPr="00F024CD">
        <w:rPr>
          <w:rFonts w:ascii="Times New Roman" w:hAnsi="Times New Roman" w:cs="Times New Roman"/>
          <w:b/>
          <w:bCs/>
        </w:rPr>
        <w:t xml:space="preserve">Implementación del </w:t>
      </w:r>
      <w:r w:rsidR="003431BD" w:rsidRPr="00F024CD">
        <w:rPr>
          <w:rFonts w:ascii="Times New Roman" w:hAnsi="Times New Roman" w:cs="Times New Roman"/>
          <w:b/>
          <w:bCs/>
        </w:rPr>
        <w:t>PLAN</w:t>
      </w:r>
      <w:r w:rsidRPr="00F024CD">
        <w:rPr>
          <w:rFonts w:ascii="Times New Roman" w:hAnsi="Times New Roman" w:cs="Times New Roman"/>
          <w:b/>
          <w:bCs/>
        </w:rPr>
        <w:t xml:space="preserve"> 70D</w:t>
      </w:r>
    </w:p>
    <w:p w14:paraId="0E6BBFE7" w14:textId="6EAB8BFA" w:rsidR="003431BD" w:rsidRDefault="003431BD" w:rsidP="08BB9A3E">
      <w:pPr>
        <w:spacing w:line="360" w:lineRule="auto"/>
        <w:jc w:val="both"/>
        <w:rPr>
          <w:rFonts w:ascii="Times New Roman" w:hAnsi="Times New Roman" w:cs="Times New Roman"/>
          <w:color w:val="222222"/>
          <w:shd w:val="clear" w:color="auto" w:fill="FFFFFF"/>
        </w:rPr>
      </w:pPr>
      <w:r w:rsidRPr="003431BD">
        <w:rPr>
          <w:rFonts w:ascii="Times New Roman" w:hAnsi="Times New Roman" w:cs="Times New Roman"/>
          <w:color w:val="222222"/>
          <w:shd w:val="clear" w:color="auto" w:fill="FFFFFF"/>
        </w:rPr>
        <w:t xml:space="preserve">A continuación, se presenta en la línea de tiempo (Gráfico 01) las acciones que se realizaron para </w:t>
      </w:r>
      <w:r>
        <w:rPr>
          <w:rFonts w:ascii="Times New Roman" w:hAnsi="Times New Roman" w:cs="Times New Roman"/>
          <w:color w:val="222222"/>
          <w:shd w:val="clear" w:color="auto" w:fill="FFFFFF"/>
        </w:rPr>
        <w:t>i</w:t>
      </w:r>
      <w:r w:rsidRPr="003431BD">
        <w:rPr>
          <w:rFonts w:ascii="Times New Roman" w:hAnsi="Times New Roman" w:cs="Times New Roman"/>
          <w:color w:val="222222"/>
          <w:shd w:val="clear" w:color="auto" w:fill="FFFFFF"/>
        </w:rPr>
        <w:t>mplementar el PLAN 70D, incluyendo la socialización de la Circular 058, entre otras actividades destacadas</w:t>
      </w:r>
      <w:r>
        <w:rPr>
          <w:rFonts w:ascii="Times New Roman" w:hAnsi="Times New Roman" w:cs="Times New Roman"/>
          <w:color w:val="222222"/>
          <w:shd w:val="clear" w:color="auto" w:fill="FFFFFF"/>
        </w:rPr>
        <w:t>,</w:t>
      </w:r>
      <w:r w:rsidRPr="003431BD">
        <w:rPr>
          <w:rFonts w:ascii="Times New Roman" w:hAnsi="Times New Roman" w:cs="Times New Roman"/>
          <w:color w:val="222222"/>
          <w:shd w:val="clear" w:color="auto" w:fill="FFFFFF"/>
        </w:rPr>
        <w:t xml:space="preserve"> como la conmemoración de víctimas y el lanzamiento del Plan Navidad. Estas iniciativas estuvieron orientadas a fortalecer la seguridad vial y promover una movilidad segura durante la temporada vacacional. Asimismo, en la línea de tiempo se destacan los espacios de articulación, seguimiento y análisis vinculados al desarrollo del PLAN.</w:t>
      </w:r>
    </w:p>
    <w:p w14:paraId="376F6813" w14:textId="4625E623" w:rsidR="08BB9A3E" w:rsidRPr="003431BD" w:rsidRDefault="003431BD" w:rsidP="08BB9A3E">
      <w:pPr>
        <w:spacing w:line="360" w:lineRule="auto"/>
        <w:jc w:val="both"/>
        <w:rPr>
          <w:rFonts w:ascii="Times New Roman" w:hAnsi="Times New Roman" w:cs="Times New Roman"/>
          <w:b/>
          <w:color w:val="222222"/>
        </w:rPr>
      </w:pPr>
      <w:r w:rsidRPr="00564C72">
        <w:rPr>
          <w:rFonts w:ascii="Times New Roman" w:hAnsi="Times New Roman" w:cs="Times New Roman"/>
          <w:noProof/>
          <w:color w:val="222222"/>
          <w:lang w:eastAsia="es-CO"/>
        </w:rPr>
        <w:lastRenderedPageBreak/>
        <w:drawing>
          <wp:anchor distT="0" distB="0" distL="114300" distR="114300" simplePos="0" relativeHeight="251678722" behindDoc="0" locked="0" layoutInCell="1" allowOverlap="1" wp14:anchorId="24765E14" wp14:editId="59AAC511">
            <wp:simplePos x="0" y="0"/>
            <wp:positionH relativeFrom="margin">
              <wp:posOffset>20376</wp:posOffset>
            </wp:positionH>
            <wp:positionV relativeFrom="paragraph">
              <wp:posOffset>178435</wp:posOffset>
            </wp:positionV>
            <wp:extent cx="4491299" cy="2743200"/>
            <wp:effectExtent l="0" t="0" r="508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93988" cy="2744843"/>
                    </a:xfrm>
                    <a:prstGeom prst="rect">
                      <a:avLst/>
                    </a:prstGeom>
                  </pic:spPr>
                </pic:pic>
              </a:graphicData>
            </a:graphic>
            <wp14:sizeRelH relativeFrom="margin">
              <wp14:pctWidth>0</wp14:pctWidth>
            </wp14:sizeRelH>
            <wp14:sizeRelV relativeFrom="margin">
              <wp14:pctHeight>0</wp14:pctHeight>
            </wp14:sizeRelV>
          </wp:anchor>
        </w:drawing>
      </w:r>
      <w:r w:rsidR="08BB9A3E" w:rsidRPr="003431BD">
        <w:rPr>
          <w:rFonts w:ascii="Times New Roman" w:hAnsi="Times New Roman" w:cs="Times New Roman"/>
          <w:b/>
          <w:color w:val="222222"/>
        </w:rPr>
        <w:t xml:space="preserve">Gráfico 01. Línea de tiempo </w:t>
      </w:r>
      <w:r w:rsidRPr="003431BD">
        <w:rPr>
          <w:rFonts w:ascii="Times New Roman" w:hAnsi="Times New Roman" w:cs="Times New Roman"/>
          <w:b/>
          <w:color w:val="222222"/>
        </w:rPr>
        <w:t>PLAN</w:t>
      </w:r>
      <w:r w:rsidR="08BB9A3E" w:rsidRPr="003431BD">
        <w:rPr>
          <w:rFonts w:ascii="Times New Roman" w:hAnsi="Times New Roman" w:cs="Times New Roman"/>
          <w:b/>
          <w:color w:val="222222"/>
        </w:rPr>
        <w:t xml:space="preserve"> 70D</w:t>
      </w:r>
    </w:p>
    <w:p w14:paraId="4B6421CB" w14:textId="3193B69B" w:rsidR="003431BD" w:rsidRPr="003431BD" w:rsidRDefault="003431BD" w:rsidP="003431BD">
      <w:pPr>
        <w:spacing w:line="360" w:lineRule="auto"/>
        <w:rPr>
          <w:rFonts w:ascii="Times New Roman" w:hAnsi="Times New Roman" w:cs="Times New Roman"/>
        </w:rPr>
      </w:pPr>
      <w:r w:rsidRPr="003431BD">
        <w:rPr>
          <w:rFonts w:ascii="Times New Roman" w:hAnsi="Times New Roman" w:cs="Times New Roman"/>
        </w:rPr>
        <w:t xml:space="preserve">Fuente: elaboración propia. </w:t>
      </w:r>
    </w:p>
    <w:p w14:paraId="0ED9D439" w14:textId="1469BD63" w:rsidR="005C235C" w:rsidRPr="00F024CD" w:rsidRDefault="00F024CD" w:rsidP="00F024CD">
      <w:pPr>
        <w:spacing w:line="360" w:lineRule="auto"/>
        <w:rPr>
          <w:rFonts w:ascii="Times New Roman" w:hAnsi="Times New Roman" w:cs="Times New Roman"/>
          <w:b/>
          <w:bCs/>
        </w:rPr>
      </w:pPr>
      <w:r>
        <w:rPr>
          <w:rFonts w:ascii="Times New Roman" w:hAnsi="Times New Roman" w:cs="Times New Roman"/>
          <w:b/>
          <w:bCs/>
        </w:rPr>
        <w:t xml:space="preserve">3.1 </w:t>
      </w:r>
      <w:r w:rsidR="005C235C" w:rsidRPr="00F024CD">
        <w:rPr>
          <w:rFonts w:ascii="Times New Roman" w:hAnsi="Times New Roman" w:cs="Times New Roman"/>
          <w:b/>
          <w:bCs/>
        </w:rPr>
        <w:t xml:space="preserve">Hitos en la implementación del </w:t>
      </w:r>
      <w:r w:rsidR="0087435D" w:rsidRPr="00F024CD">
        <w:rPr>
          <w:rFonts w:ascii="Times New Roman" w:hAnsi="Times New Roman" w:cs="Times New Roman"/>
          <w:b/>
          <w:bCs/>
        </w:rPr>
        <w:t>PLAN</w:t>
      </w:r>
      <w:r w:rsidR="005C235C" w:rsidRPr="00F024CD">
        <w:rPr>
          <w:rFonts w:ascii="Times New Roman" w:hAnsi="Times New Roman" w:cs="Times New Roman"/>
          <w:b/>
          <w:bCs/>
        </w:rPr>
        <w:t xml:space="preserve"> 70D</w:t>
      </w:r>
    </w:p>
    <w:p w14:paraId="2624A49E" w14:textId="0DBC9E0A" w:rsidR="00171961" w:rsidRPr="00DF20A3" w:rsidRDefault="00171961" w:rsidP="004E33ED">
      <w:pPr>
        <w:pStyle w:val="NormalWeb"/>
        <w:spacing w:line="360" w:lineRule="auto"/>
        <w:jc w:val="both"/>
        <w:rPr>
          <w:rFonts w:eastAsiaTheme="minorEastAsia"/>
          <w:kern w:val="2"/>
          <w:sz w:val="22"/>
          <w:szCs w:val="22"/>
          <w:lang w:eastAsia="en-US"/>
          <w14:ligatures w14:val="standardContextual"/>
        </w:rPr>
      </w:pPr>
      <w:r w:rsidRPr="00DF20A3">
        <w:rPr>
          <w:rFonts w:eastAsiaTheme="minorEastAsia"/>
          <w:kern w:val="2"/>
          <w:sz w:val="22"/>
          <w:szCs w:val="22"/>
          <w:lang w:eastAsia="en-US"/>
          <w14:ligatures w14:val="standardContextual"/>
        </w:rPr>
        <w:t xml:space="preserve">El </w:t>
      </w:r>
      <w:r w:rsidR="004E33ED" w:rsidRPr="00DF20A3">
        <w:rPr>
          <w:rFonts w:eastAsiaTheme="minorEastAsia"/>
          <w:kern w:val="2"/>
          <w:sz w:val="22"/>
          <w:szCs w:val="22"/>
          <w:lang w:eastAsia="en-US"/>
          <w14:ligatures w14:val="standardContextual"/>
        </w:rPr>
        <w:t xml:space="preserve">PLAN </w:t>
      </w:r>
      <w:r w:rsidRPr="00DF20A3">
        <w:rPr>
          <w:rFonts w:eastAsiaTheme="minorEastAsia"/>
          <w:kern w:val="2"/>
          <w:sz w:val="22"/>
          <w:szCs w:val="22"/>
          <w:lang w:eastAsia="en-US"/>
          <w14:ligatures w14:val="standardContextual"/>
        </w:rPr>
        <w:t>70D logr</w:t>
      </w:r>
      <w:r w:rsidR="004E33ED" w:rsidRPr="00DF20A3">
        <w:rPr>
          <w:rFonts w:eastAsiaTheme="minorEastAsia"/>
          <w:kern w:val="2"/>
          <w:sz w:val="22"/>
          <w:szCs w:val="22"/>
          <w:lang w:eastAsia="en-US"/>
          <w14:ligatures w14:val="standardContextual"/>
        </w:rPr>
        <w:t>ó</w:t>
      </w:r>
      <w:r w:rsidRPr="00DF20A3">
        <w:rPr>
          <w:rFonts w:eastAsiaTheme="minorEastAsia"/>
          <w:kern w:val="2"/>
          <w:sz w:val="22"/>
          <w:szCs w:val="22"/>
          <w:lang w:eastAsia="en-US"/>
          <w14:ligatures w14:val="standardContextual"/>
        </w:rPr>
        <w:t xml:space="preserve"> constituirse </w:t>
      </w:r>
      <w:r w:rsidR="004E33ED" w:rsidRPr="00DF20A3">
        <w:rPr>
          <w:rFonts w:eastAsiaTheme="minorEastAsia"/>
          <w:kern w:val="2"/>
          <w:sz w:val="22"/>
          <w:szCs w:val="22"/>
          <w:lang w:eastAsia="en-US"/>
          <w14:ligatures w14:val="standardContextual"/>
        </w:rPr>
        <w:t>como</w:t>
      </w:r>
      <w:r w:rsidRPr="00DF20A3">
        <w:rPr>
          <w:rFonts w:eastAsiaTheme="minorEastAsia"/>
          <w:kern w:val="2"/>
          <w:sz w:val="22"/>
          <w:szCs w:val="22"/>
          <w:lang w:eastAsia="en-US"/>
          <w14:ligatures w14:val="standardContextual"/>
        </w:rPr>
        <w:t xml:space="preserve"> una estrategia del sector transporte, que liderada por la ANSV y el Ministerio de Transporte</w:t>
      </w:r>
      <w:r w:rsidR="004E33ED" w:rsidRPr="00DF20A3">
        <w:rPr>
          <w:rFonts w:eastAsiaTheme="minorEastAsia"/>
          <w:kern w:val="2"/>
          <w:sz w:val="22"/>
          <w:szCs w:val="22"/>
          <w:lang w:eastAsia="en-US"/>
          <w14:ligatures w14:val="standardContextual"/>
        </w:rPr>
        <w:t>,</w:t>
      </w:r>
      <w:r w:rsidRPr="00DF20A3">
        <w:rPr>
          <w:rFonts w:eastAsiaTheme="minorEastAsia"/>
          <w:kern w:val="2"/>
          <w:sz w:val="22"/>
          <w:szCs w:val="22"/>
          <w:lang w:eastAsia="en-US"/>
          <w14:ligatures w14:val="standardContextual"/>
        </w:rPr>
        <w:t xml:space="preserve"> busc</w:t>
      </w:r>
      <w:r w:rsidR="004E33ED" w:rsidRPr="00DF20A3">
        <w:rPr>
          <w:rFonts w:eastAsiaTheme="minorEastAsia"/>
          <w:kern w:val="2"/>
          <w:sz w:val="22"/>
          <w:szCs w:val="22"/>
          <w:lang w:eastAsia="en-US"/>
          <w14:ligatures w14:val="standardContextual"/>
        </w:rPr>
        <w:t>ó</w:t>
      </w:r>
      <w:r w:rsidRPr="00DF20A3">
        <w:rPr>
          <w:rFonts w:eastAsiaTheme="minorEastAsia"/>
          <w:kern w:val="2"/>
          <w:sz w:val="22"/>
          <w:szCs w:val="22"/>
          <w:lang w:eastAsia="en-US"/>
          <w14:ligatures w14:val="standardContextual"/>
        </w:rPr>
        <w:t xml:space="preserve"> mitigar y reducir la</w:t>
      </w:r>
      <w:r w:rsidR="004E33ED" w:rsidRPr="00DF20A3">
        <w:rPr>
          <w:rFonts w:eastAsiaTheme="minorEastAsia"/>
          <w:kern w:val="2"/>
          <w:sz w:val="22"/>
          <w:szCs w:val="22"/>
          <w:lang w:eastAsia="en-US"/>
          <w14:ligatures w14:val="standardContextual"/>
        </w:rPr>
        <w:t>s cifras de siniestralidad vial durante 70 días de operación, así como cumplir con</w:t>
      </w:r>
      <w:r w:rsidRPr="00DF20A3">
        <w:rPr>
          <w:rFonts w:eastAsiaTheme="minorEastAsia"/>
          <w:kern w:val="2"/>
          <w:sz w:val="22"/>
          <w:szCs w:val="22"/>
          <w:lang w:eastAsia="en-US"/>
          <w14:ligatures w14:val="standardContextual"/>
        </w:rPr>
        <w:t xml:space="preserve"> la </w:t>
      </w:r>
      <w:r w:rsidRPr="00DF20A3">
        <w:rPr>
          <w:sz w:val="22"/>
          <w:szCs w:val="22"/>
        </w:rPr>
        <w:t xml:space="preserve">ejecución de acciones de control correctivas, preventivas y pedagógicas en la vía. </w:t>
      </w:r>
    </w:p>
    <w:p w14:paraId="1DC4B873" w14:textId="5ED2334D" w:rsidR="00171961" w:rsidRPr="00DF20A3" w:rsidRDefault="004E33ED" w:rsidP="00DF20A3">
      <w:pPr>
        <w:pStyle w:val="NormalWeb"/>
        <w:spacing w:line="360" w:lineRule="auto"/>
        <w:jc w:val="both"/>
        <w:rPr>
          <w:rFonts w:eastAsiaTheme="minorEastAsia"/>
          <w:kern w:val="2"/>
          <w:sz w:val="22"/>
          <w:szCs w:val="22"/>
          <w:lang w:eastAsia="en-US"/>
          <w14:ligatures w14:val="standardContextual"/>
        </w:rPr>
      </w:pPr>
      <w:r w:rsidRPr="00DF20A3">
        <w:rPr>
          <w:rFonts w:eastAsiaTheme="minorEastAsia"/>
          <w:kern w:val="2"/>
          <w:sz w:val="22"/>
          <w:szCs w:val="22"/>
          <w:lang w:eastAsia="en-US"/>
          <w14:ligatures w14:val="standardContextual"/>
        </w:rPr>
        <w:t>Durante</w:t>
      </w:r>
      <w:r w:rsidR="00171961" w:rsidRPr="00DF20A3">
        <w:rPr>
          <w:rFonts w:eastAsiaTheme="minorEastAsia"/>
          <w:kern w:val="2"/>
          <w:sz w:val="22"/>
          <w:szCs w:val="22"/>
          <w:lang w:eastAsia="en-US"/>
          <w14:ligatures w14:val="standardContextual"/>
        </w:rPr>
        <w:t xml:space="preserve"> la socialización de la circular 058 de 2024,  </w:t>
      </w:r>
      <w:r w:rsidRPr="00DF20A3">
        <w:rPr>
          <w:rFonts w:eastAsiaTheme="minorEastAsia"/>
          <w:kern w:val="2"/>
          <w:sz w:val="22"/>
          <w:szCs w:val="22"/>
          <w:lang w:eastAsia="en-US"/>
          <w14:ligatures w14:val="standardContextual"/>
        </w:rPr>
        <w:t>que se realizó</w:t>
      </w:r>
      <w:r w:rsidR="00171961" w:rsidRPr="00DF20A3">
        <w:rPr>
          <w:rFonts w:eastAsiaTheme="minorEastAsia"/>
          <w:kern w:val="2"/>
          <w:sz w:val="22"/>
          <w:szCs w:val="22"/>
          <w:lang w:eastAsia="en-US"/>
          <w14:ligatures w14:val="standardContextual"/>
        </w:rPr>
        <w:t xml:space="preserve"> entre los días 28 y 29 de octubre</w:t>
      </w:r>
      <w:r w:rsidR="00DF20A3" w:rsidRPr="00DF20A3">
        <w:rPr>
          <w:rFonts w:eastAsiaTheme="minorEastAsia"/>
          <w:kern w:val="2"/>
          <w:sz w:val="22"/>
          <w:szCs w:val="22"/>
          <w:lang w:eastAsia="en-US"/>
          <w14:ligatures w14:val="standardContextual"/>
        </w:rPr>
        <w:t>,</w:t>
      </w:r>
      <w:r w:rsidR="00171961" w:rsidRPr="00DF20A3">
        <w:rPr>
          <w:rFonts w:eastAsiaTheme="minorEastAsia"/>
          <w:kern w:val="2"/>
          <w:sz w:val="22"/>
          <w:szCs w:val="22"/>
          <w:lang w:eastAsia="en-US"/>
          <w14:ligatures w14:val="standardContextual"/>
        </w:rPr>
        <w:t xml:space="preserve"> la ANSV</w:t>
      </w:r>
      <w:r w:rsidR="00DF20A3" w:rsidRPr="00DF20A3">
        <w:rPr>
          <w:rFonts w:eastAsiaTheme="minorEastAsia"/>
          <w:kern w:val="2"/>
          <w:sz w:val="22"/>
          <w:szCs w:val="22"/>
          <w:lang w:eastAsia="en-US"/>
          <w14:ligatures w14:val="standardContextual"/>
        </w:rPr>
        <w:t xml:space="preserve"> alcanzó a im</w:t>
      </w:r>
      <w:r w:rsidR="00171961" w:rsidRPr="00DF20A3">
        <w:rPr>
          <w:rFonts w:eastAsiaTheme="minorEastAsia"/>
          <w:kern w:val="2"/>
          <w:sz w:val="22"/>
          <w:szCs w:val="22"/>
          <w:lang w:eastAsia="en-US"/>
          <w14:ligatures w14:val="standardContextual"/>
        </w:rPr>
        <w:t>pactar a</w:t>
      </w:r>
      <w:r w:rsidR="00DF20A3" w:rsidRPr="00DF20A3">
        <w:rPr>
          <w:rFonts w:eastAsiaTheme="minorEastAsia"/>
          <w:kern w:val="2"/>
          <w:sz w:val="22"/>
          <w:szCs w:val="22"/>
          <w:lang w:eastAsia="en-US"/>
          <w14:ligatures w14:val="standardContextual"/>
        </w:rPr>
        <w:t>lrededor de</w:t>
      </w:r>
      <w:r w:rsidR="00171961" w:rsidRPr="00DF20A3">
        <w:rPr>
          <w:rFonts w:eastAsiaTheme="minorEastAsia"/>
          <w:kern w:val="2"/>
          <w:sz w:val="22"/>
          <w:szCs w:val="22"/>
          <w:lang w:eastAsia="en-US"/>
          <w14:ligatures w14:val="standardContextual"/>
        </w:rPr>
        <w:t xml:space="preserve"> 855 actores, </w:t>
      </w:r>
      <w:r w:rsidR="00DF20A3" w:rsidRPr="00DF20A3">
        <w:rPr>
          <w:rFonts w:eastAsiaTheme="minorEastAsia"/>
          <w:kern w:val="2"/>
          <w:sz w:val="22"/>
          <w:szCs w:val="22"/>
          <w:lang w:eastAsia="en-US"/>
          <w14:ligatures w14:val="standardContextual"/>
        </w:rPr>
        <w:t xml:space="preserve">destacando a: organismos de tránsito; </w:t>
      </w:r>
      <w:r w:rsidR="00171961" w:rsidRPr="00DF20A3">
        <w:rPr>
          <w:rFonts w:eastAsiaTheme="minorEastAsia"/>
          <w:kern w:val="2"/>
          <w:sz w:val="22"/>
          <w:szCs w:val="22"/>
          <w:lang w:eastAsia="en-US"/>
          <w14:ligatures w14:val="standardContextual"/>
        </w:rPr>
        <w:t>autoridades</w:t>
      </w:r>
      <w:r w:rsidR="00DF20A3" w:rsidRPr="00DF20A3">
        <w:rPr>
          <w:rFonts w:eastAsiaTheme="minorEastAsia"/>
          <w:kern w:val="2"/>
          <w:sz w:val="22"/>
          <w:szCs w:val="22"/>
          <w:lang w:eastAsia="en-US"/>
          <w14:ligatures w14:val="standardContextual"/>
        </w:rPr>
        <w:t xml:space="preserve"> locales;</w:t>
      </w:r>
      <w:r w:rsidR="00171961" w:rsidRPr="00DF20A3">
        <w:rPr>
          <w:rFonts w:eastAsiaTheme="minorEastAsia"/>
          <w:kern w:val="2"/>
          <w:sz w:val="22"/>
          <w:szCs w:val="22"/>
          <w:lang w:eastAsia="en-US"/>
          <w14:ligatures w14:val="standardContextual"/>
        </w:rPr>
        <w:t xml:space="preserve"> organismos de socorro</w:t>
      </w:r>
      <w:r w:rsidR="00DF20A3" w:rsidRPr="00DF20A3">
        <w:rPr>
          <w:rFonts w:eastAsiaTheme="minorEastAsia"/>
          <w:kern w:val="2"/>
          <w:sz w:val="22"/>
          <w:szCs w:val="22"/>
          <w:lang w:eastAsia="en-US"/>
          <w14:ligatures w14:val="standardContextual"/>
        </w:rPr>
        <w:t>;</w:t>
      </w:r>
      <w:r w:rsidR="00171961" w:rsidRPr="00DF20A3">
        <w:rPr>
          <w:rFonts w:eastAsiaTheme="minorEastAsia"/>
          <w:kern w:val="2"/>
          <w:sz w:val="22"/>
          <w:szCs w:val="22"/>
          <w:lang w:eastAsia="en-US"/>
          <w14:ligatures w14:val="standardContextual"/>
        </w:rPr>
        <w:t xml:space="preserve"> inspectores de policía y grupos operativos a nivel nacional. </w:t>
      </w:r>
    </w:p>
    <w:p w14:paraId="60776FCE" w14:textId="525F8753" w:rsidR="00DF20A3" w:rsidRPr="00DF20A3" w:rsidRDefault="00DF20A3" w:rsidP="00DF20A3">
      <w:pPr>
        <w:pStyle w:val="NormalWeb"/>
        <w:spacing w:line="360" w:lineRule="auto"/>
        <w:jc w:val="both"/>
        <w:rPr>
          <w:rFonts w:eastAsiaTheme="minorEastAsia"/>
          <w:kern w:val="2"/>
          <w:sz w:val="22"/>
          <w:szCs w:val="22"/>
          <w:lang w:eastAsia="en-US"/>
          <w14:ligatures w14:val="standardContextual"/>
        </w:rPr>
      </w:pPr>
      <w:r w:rsidRPr="00DF20A3">
        <w:rPr>
          <w:rFonts w:eastAsiaTheme="minorEastAsia"/>
          <w:kern w:val="2"/>
          <w:sz w:val="22"/>
          <w:szCs w:val="22"/>
          <w:lang w:eastAsia="en-US"/>
          <w14:ligatures w14:val="standardContextual"/>
        </w:rPr>
        <w:t xml:space="preserve">En la implementación del PLAN 70D, se destacó el despliegue institucional liderado por la ANSV mediante actividades clave, tales como: i) las jornadas de intervención a víctimas, cuyo lanzamiento se realizó en cinco ciudades del país, incluyendo Bogotá, Medellín, Barranquilla, Villavicencio y Pasto; ii) las acciones de coordinación efectuadas por el equipo de la DCI en las ocho regiones del país; iii) los operativos de control en puntos priorizados a nivel nacional, junto con el acompañamiento institucional de la ANSV. Estas acciones consolidaron el papel de la ANSV como </w:t>
      </w:r>
      <w:r w:rsidRPr="00DF20A3">
        <w:rPr>
          <w:rFonts w:eastAsiaTheme="minorEastAsia"/>
          <w:kern w:val="2"/>
          <w:sz w:val="22"/>
          <w:szCs w:val="22"/>
          <w:lang w:eastAsia="en-US"/>
          <w14:ligatures w14:val="standardContextual"/>
        </w:rPr>
        <w:lastRenderedPageBreak/>
        <w:t>líder en la ejecución del PLAN 70D, fortaleciendo su impacto a través de una presencia activa y el desarrollo de actividades de coordinación en todo el territorio nacional.</w:t>
      </w:r>
    </w:p>
    <w:p w14:paraId="2E29201B" w14:textId="35A9BFA5" w:rsidR="00DF20A3" w:rsidRPr="00DF20A3" w:rsidRDefault="00DF20A3" w:rsidP="00DF20A3">
      <w:pPr>
        <w:pStyle w:val="NormalWeb"/>
        <w:spacing w:line="360" w:lineRule="auto"/>
        <w:jc w:val="both"/>
        <w:rPr>
          <w:rFonts w:eastAsiaTheme="minorEastAsia"/>
          <w:kern w:val="2"/>
          <w:sz w:val="22"/>
          <w:szCs w:val="22"/>
          <w:lang w:eastAsia="en-US"/>
          <w14:ligatures w14:val="standardContextual"/>
        </w:rPr>
      </w:pPr>
      <w:r w:rsidRPr="00DF20A3">
        <w:rPr>
          <w:rFonts w:eastAsiaTheme="minorEastAsia"/>
          <w:kern w:val="2"/>
          <w:sz w:val="22"/>
          <w:szCs w:val="22"/>
          <w:lang w:eastAsia="en-US"/>
          <w14:ligatures w14:val="standardContextual"/>
        </w:rPr>
        <w:t>A partir del 1 de diciembre de 2024, en el marco del PLAN 70D, entró en operación el Plan Navidad, el cual evidenció un aumento del 42% en cobertura frente al mismo periodo de 2023. Este incremento permitió una mayor presencia en departamentos y municipios, así como un despliegue más amplio en los controles ejecutados por los organismos de tránsito.</w:t>
      </w:r>
    </w:p>
    <w:p w14:paraId="7ED2B5C2" w14:textId="76FCF17A" w:rsidR="009B1169" w:rsidRPr="00792384" w:rsidRDefault="00F024CD" w:rsidP="009B1169">
      <w:pPr>
        <w:spacing w:line="360" w:lineRule="auto"/>
        <w:jc w:val="both"/>
        <w:rPr>
          <w:rFonts w:ascii="Times New Roman" w:hAnsi="Times New Roman" w:cs="Times New Roman"/>
          <w:b/>
          <w:bCs/>
        </w:rPr>
      </w:pPr>
      <w:r>
        <w:rPr>
          <w:rFonts w:ascii="Times New Roman" w:hAnsi="Times New Roman" w:cs="Times New Roman"/>
          <w:b/>
          <w:bCs/>
        </w:rPr>
        <w:t>3.2</w:t>
      </w:r>
      <w:r w:rsidR="00AD3FFE" w:rsidRPr="00792384">
        <w:rPr>
          <w:rFonts w:ascii="Times New Roman" w:hAnsi="Times New Roman" w:cs="Times New Roman"/>
          <w:b/>
          <w:bCs/>
        </w:rPr>
        <w:t xml:space="preserve"> A</w:t>
      </w:r>
      <w:r w:rsidR="009B1169" w:rsidRPr="00792384">
        <w:rPr>
          <w:rFonts w:ascii="Times New Roman" w:hAnsi="Times New Roman" w:cs="Times New Roman"/>
          <w:b/>
          <w:bCs/>
        </w:rPr>
        <w:t xml:space="preserve">cciones de coordinación </w:t>
      </w:r>
    </w:p>
    <w:p w14:paraId="2152FC33" w14:textId="5E8E9E7B" w:rsidR="0028567D" w:rsidRPr="00394EB1" w:rsidRDefault="0028567D" w:rsidP="0028567D">
      <w:pPr>
        <w:pStyle w:val="NormalWeb"/>
        <w:spacing w:line="360" w:lineRule="auto"/>
        <w:jc w:val="both"/>
        <w:rPr>
          <w:rFonts w:eastAsiaTheme="minorEastAsia"/>
          <w:sz w:val="22"/>
          <w:szCs w:val="22"/>
          <w:lang w:eastAsia="en-US"/>
        </w:rPr>
      </w:pPr>
      <w:r w:rsidRPr="00394EB1">
        <w:rPr>
          <w:rFonts w:eastAsiaTheme="minorEastAsia"/>
          <w:sz w:val="22"/>
          <w:szCs w:val="22"/>
          <w:lang w:eastAsia="en-US"/>
        </w:rPr>
        <w:t>En cuanto a lo</w:t>
      </w:r>
      <w:r w:rsidR="008417C5" w:rsidRPr="00394EB1">
        <w:rPr>
          <w:rFonts w:eastAsiaTheme="minorEastAsia"/>
          <w:sz w:val="22"/>
          <w:szCs w:val="22"/>
          <w:lang w:eastAsia="en-US"/>
        </w:rPr>
        <w:t>s aspectos de coordinación, se resaltan</w:t>
      </w:r>
      <w:r w:rsidRPr="00394EB1">
        <w:rPr>
          <w:rFonts w:eastAsiaTheme="minorEastAsia"/>
          <w:sz w:val="22"/>
          <w:szCs w:val="22"/>
          <w:lang w:eastAsia="en-US"/>
        </w:rPr>
        <w:t xml:space="preserve"> las acciones lideradas por la ANSV tanto a nivel nacional como local. Los actores involucrados señalaron altos niveles de coordinación entre la ANSV y las autoridades locales; reconociendo a la ANSV como un actor clave para la implementación del PLAN 70D en las diferentes regiones.</w:t>
      </w:r>
    </w:p>
    <w:p w14:paraId="32CD7BD6" w14:textId="2E0C7CB7" w:rsidR="0028567D" w:rsidRPr="00394EB1" w:rsidRDefault="0028567D" w:rsidP="0028567D">
      <w:pPr>
        <w:pStyle w:val="NormalWeb"/>
        <w:spacing w:line="360" w:lineRule="auto"/>
        <w:jc w:val="both"/>
        <w:rPr>
          <w:rFonts w:eastAsiaTheme="minorEastAsia"/>
          <w:sz w:val="22"/>
          <w:szCs w:val="22"/>
          <w:lang w:eastAsia="en-US"/>
        </w:rPr>
      </w:pPr>
      <w:r w:rsidRPr="00394EB1">
        <w:rPr>
          <w:rFonts w:eastAsiaTheme="minorEastAsia"/>
          <w:sz w:val="22"/>
          <w:szCs w:val="22"/>
          <w:lang w:eastAsia="en-US"/>
        </w:rPr>
        <w:t>Entre los principales avances en materia de coordinación se destaca</w:t>
      </w:r>
      <w:r w:rsidR="008417C5" w:rsidRPr="00394EB1">
        <w:rPr>
          <w:rFonts w:eastAsiaTheme="minorEastAsia"/>
          <w:sz w:val="22"/>
          <w:szCs w:val="22"/>
          <w:lang w:eastAsia="en-US"/>
        </w:rPr>
        <w:t>ro</w:t>
      </w:r>
      <w:r w:rsidRPr="00394EB1">
        <w:rPr>
          <w:rFonts w:eastAsiaTheme="minorEastAsia"/>
          <w:sz w:val="22"/>
          <w:szCs w:val="22"/>
          <w:lang w:eastAsia="en-US"/>
        </w:rPr>
        <w:t xml:space="preserve">n: i) la realización de </w:t>
      </w:r>
      <w:r w:rsidR="00AA6AED">
        <w:rPr>
          <w:rFonts w:eastAsiaTheme="minorEastAsia"/>
          <w:sz w:val="22"/>
          <w:szCs w:val="22"/>
          <w:lang w:eastAsia="en-US"/>
        </w:rPr>
        <w:t>5</w:t>
      </w:r>
      <w:r w:rsidRPr="00394EB1">
        <w:rPr>
          <w:rFonts w:eastAsiaTheme="minorEastAsia"/>
          <w:sz w:val="22"/>
          <w:szCs w:val="22"/>
          <w:lang w:eastAsia="en-US"/>
        </w:rPr>
        <w:t xml:space="preserve"> jornadas de socialización dirigidas a 855 actores del sector transporte, abarcando niveles nacional y local; ii) el reconocimiento por parte de los organismos de tránsito territoriales (OT) del papel de la ANSV como facilitador en la articulación entre las autoridades de tránsito con competencias en el territorio, lo cual se logró mediante la creación de cronogramas y la conformación de mesas de trabajo. En este contexto, los OT resaltaron que la coordinación con la ANSV fue fundamental para la planificación e implementación de actividades y controles establecidos en los cronogramas, contribuyendo significativamente al éxito del PLAN 70D.</w:t>
      </w:r>
    </w:p>
    <w:p w14:paraId="28F3F461" w14:textId="757AE395" w:rsidR="009B1169" w:rsidRPr="00F024CD" w:rsidRDefault="00F024CD" w:rsidP="00F024CD">
      <w:pPr>
        <w:spacing w:after="0" w:line="360" w:lineRule="auto"/>
        <w:rPr>
          <w:rFonts w:ascii="Times New Roman" w:hAnsi="Times New Roman" w:cs="Times New Roman"/>
          <w:b/>
          <w:bCs/>
        </w:rPr>
      </w:pPr>
      <w:r>
        <w:rPr>
          <w:rFonts w:ascii="Times New Roman" w:hAnsi="Times New Roman" w:cs="Times New Roman"/>
          <w:b/>
          <w:bCs/>
        </w:rPr>
        <w:t xml:space="preserve">3.3 </w:t>
      </w:r>
      <w:r w:rsidR="00B12416" w:rsidRPr="00F024CD">
        <w:rPr>
          <w:rFonts w:ascii="Times New Roman" w:hAnsi="Times New Roman" w:cs="Times New Roman"/>
          <w:b/>
          <w:bCs/>
        </w:rPr>
        <w:t>S</w:t>
      </w:r>
      <w:r w:rsidR="009B1169" w:rsidRPr="00F024CD">
        <w:rPr>
          <w:rFonts w:ascii="Times New Roman" w:hAnsi="Times New Roman" w:cs="Times New Roman"/>
          <w:b/>
          <w:bCs/>
        </w:rPr>
        <w:t xml:space="preserve">eguimiento y evaluación del </w:t>
      </w:r>
      <w:r w:rsidR="00B12416" w:rsidRPr="00F024CD">
        <w:rPr>
          <w:rFonts w:ascii="Times New Roman" w:hAnsi="Times New Roman" w:cs="Times New Roman"/>
          <w:b/>
          <w:bCs/>
        </w:rPr>
        <w:t xml:space="preserve">PLAN </w:t>
      </w:r>
      <w:r w:rsidR="009B1169" w:rsidRPr="00F024CD">
        <w:rPr>
          <w:rFonts w:ascii="Times New Roman" w:hAnsi="Times New Roman" w:cs="Times New Roman"/>
          <w:b/>
          <w:bCs/>
        </w:rPr>
        <w:t>70D</w:t>
      </w:r>
    </w:p>
    <w:p w14:paraId="54FF3D5B" w14:textId="77C7AF98" w:rsidR="08BB9A3E" w:rsidRPr="001D5133" w:rsidRDefault="08BB9A3E" w:rsidP="08BB9A3E">
      <w:pPr>
        <w:spacing w:after="0" w:line="360" w:lineRule="auto"/>
        <w:ind w:left="1440"/>
        <w:rPr>
          <w:rFonts w:ascii="Times New Roman" w:hAnsi="Times New Roman" w:cs="Times New Roman"/>
          <w:highlight w:val="yellow"/>
        </w:rPr>
      </w:pPr>
    </w:p>
    <w:p w14:paraId="52E73E13" w14:textId="7E876D8F" w:rsidR="00610A53" w:rsidRPr="00610A53" w:rsidRDefault="00610A53" w:rsidP="00610A53">
      <w:pPr>
        <w:spacing w:after="0" w:line="360" w:lineRule="auto"/>
        <w:jc w:val="both"/>
        <w:rPr>
          <w:rFonts w:ascii="Times New Roman" w:hAnsi="Times New Roman" w:cs="Times New Roman"/>
        </w:rPr>
      </w:pPr>
      <w:r w:rsidRPr="00610A53">
        <w:rPr>
          <w:rFonts w:ascii="Times New Roman" w:hAnsi="Times New Roman" w:cs="Times New Roman"/>
        </w:rPr>
        <w:t>En relación con las acciones de seguimiento a las intervenciones ejecutadas por los actores responsables de implementar el PLAN 70D en los territorios, cabe destacar que, mediante la Circular Conjunta 058 de 2024, la ANSV estableció un tablero de reporte de información para que las autoridades de tránsito locales documentaran los controles realizados en sus jurisdicciones. Además, se</w:t>
      </w:r>
      <w:r w:rsidR="08BB9A3E" w:rsidRPr="00610A53">
        <w:rPr>
          <w:rFonts w:ascii="Times New Roman" w:hAnsi="Times New Roman" w:cs="Times New Roman"/>
        </w:rPr>
        <w:t xml:space="preserve"> re</w:t>
      </w:r>
      <w:r w:rsidRPr="00610A53">
        <w:rPr>
          <w:rFonts w:ascii="Times New Roman" w:hAnsi="Times New Roman" w:cs="Times New Roman"/>
        </w:rPr>
        <w:t>salta</w:t>
      </w:r>
      <w:r w:rsidR="08BB9A3E" w:rsidRPr="00610A53">
        <w:rPr>
          <w:rFonts w:ascii="Times New Roman" w:hAnsi="Times New Roman" w:cs="Times New Roman"/>
        </w:rPr>
        <w:t xml:space="preserve"> que, </w:t>
      </w:r>
      <w:r w:rsidRPr="00610A53">
        <w:rPr>
          <w:rFonts w:ascii="Times New Roman" w:hAnsi="Times New Roman" w:cs="Times New Roman"/>
        </w:rPr>
        <w:t>d</w:t>
      </w:r>
      <w:r w:rsidRPr="00610A53">
        <w:rPr>
          <w:rFonts w:ascii="Times New Roman" w:eastAsiaTheme="minorEastAsia" w:hAnsi="Times New Roman" w:cs="Times New Roman"/>
        </w:rPr>
        <w:t xml:space="preserve">urante el periodo comprendido entre el 31 de octubre de 2024 y el 10 de enero de 2025, se registraron un total </w:t>
      </w:r>
      <w:r w:rsidRPr="002A657B">
        <w:rPr>
          <w:rFonts w:ascii="Times New Roman" w:eastAsiaTheme="minorEastAsia" w:hAnsi="Times New Roman" w:cs="Times New Roman"/>
        </w:rPr>
        <w:t>de 10.776 reportes</w:t>
      </w:r>
      <w:r w:rsidRPr="00610A53">
        <w:rPr>
          <w:rFonts w:ascii="Times New Roman" w:eastAsiaTheme="minorEastAsia" w:hAnsi="Times New Roman" w:cs="Times New Roman"/>
        </w:rPr>
        <w:t>, distribuidos de la siguiente manera:</w:t>
      </w:r>
    </w:p>
    <w:p w14:paraId="6ADA7991" w14:textId="0263DCD3" w:rsidR="08BB9A3E" w:rsidRPr="00610A53" w:rsidRDefault="002A657B" w:rsidP="00610A53">
      <w:pPr>
        <w:spacing w:after="0" w:line="360" w:lineRule="auto"/>
        <w:jc w:val="both"/>
        <w:rPr>
          <w:rFonts w:ascii="Times New Roman" w:hAnsi="Times New Roman" w:cs="Times New Roman"/>
        </w:rPr>
      </w:pPr>
      <w:r w:rsidRPr="001D5133">
        <w:rPr>
          <w:rFonts w:ascii="Times New Roman" w:eastAsiaTheme="minorEastAsia" w:hAnsi="Times New Roman" w:cs="Times New Roman"/>
          <w:noProof/>
          <w:color w:val="0E2841" w:themeColor="text2"/>
          <w:lang w:eastAsia="es-CO"/>
        </w:rPr>
        <w:lastRenderedPageBreak/>
        <w:drawing>
          <wp:anchor distT="0" distB="0" distL="114300" distR="114300" simplePos="0" relativeHeight="251659266" behindDoc="0" locked="0" layoutInCell="1" allowOverlap="1" wp14:anchorId="3F2A4D8E" wp14:editId="0CFBB95D">
            <wp:simplePos x="0" y="0"/>
            <wp:positionH relativeFrom="margin">
              <wp:align>left</wp:align>
            </wp:positionH>
            <wp:positionV relativeFrom="paragraph">
              <wp:posOffset>95885</wp:posOffset>
            </wp:positionV>
            <wp:extent cx="333375" cy="333375"/>
            <wp:effectExtent l="0" t="0" r="9525" b="9525"/>
            <wp:wrapThrough wrapText="bothSides">
              <wp:wrapPolygon edited="0">
                <wp:start x="0" y="0"/>
                <wp:lineTo x="0" y="20983"/>
                <wp:lineTo x="20983" y="20983"/>
                <wp:lineTo x="19749" y="11109"/>
                <wp:lineTo x="13577" y="0"/>
                <wp:lineTo x="0" y="0"/>
              </wp:wrapPolygon>
            </wp:wrapThrough>
            <wp:docPr id="823768223" name="Gráfico 1" descr="Gráfico de barr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68223" name="Gráfico 823768223" descr="Gráfico de barras con relleno sólido"/>
                    <pic:cNvPicPr/>
                  </pic:nvPicPr>
                  <pic:blipFill>
                    <a:blip r:embed="rId9">
                      <a:extLst>
                        <a:ext uri="{96DAC541-7B7A-43D3-8B79-37D633B846F1}">
                          <asvg:svgBlip xmlns:asvg="http://schemas.microsoft.com/office/drawing/2016/SVG/main" r:embed="rId10"/>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p>
    <w:p w14:paraId="2C82F685" w14:textId="0E7A3C31" w:rsidR="00610A53" w:rsidRPr="002A657B" w:rsidRDefault="00610A53" w:rsidP="002A657B">
      <w:pPr>
        <w:spacing w:after="0" w:line="360" w:lineRule="auto"/>
        <w:jc w:val="both"/>
        <w:rPr>
          <w:rFonts w:ascii="Times New Roman" w:eastAsia="Times" w:hAnsi="Times New Roman" w:cs="Times New Roman"/>
        </w:rPr>
      </w:pPr>
      <w:r w:rsidRPr="002A657B">
        <w:rPr>
          <w:rFonts w:ascii="Times New Roman" w:eastAsia="Times" w:hAnsi="Times New Roman" w:cs="Times New Roman"/>
        </w:rPr>
        <w:t>6.164 reportes ingresados en el aplicativo de la ANSV, correspondientes a las acciones realizadas por organismos de tránsito, municipios, ANI, INVIAS, terminales de transporte, organismos de socorro y otras entidades.</w:t>
      </w:r>
    </w:p>
    <w:p w14:paraId="2BBBACD7" w14:textId="3C38E305" w:rsidR="009B1169" w:rsidRPr="002A657B" w:rsidRDefault="00E10634" w:rsidP="002A657B">
      <w:pPr>
        <w:spacing w:after="0" w:line="360" w:lineRule="auto"/>
        <w:jc w:val="both"/>
        <w:rPr>
          <w:rFonts w:ascii="Times New Roman" w:hAnsi="Times New Roman" w:cs="Times New Roman"/>
        </w:rPr>
      </w:pPr>
      <w:r w:rsidRPr="002A657B">
        <w:rPr>
          <w:rFonts w:ascii="Times New Roman" w:eastAsiaTheme="minorEastAsia" w:hAnsi="Times New Roman" w:cs="Times New Roman"/>
          <w:noProof/>
          <w:lang w:eastAsia="es-CO"/>
        </w:rPr>
        <w:drawing>
          <wp:anchor distT="0" distB="0" distL="114300" distR="114300" simplePos="0" relativeHeight="251672578" behindDoc="0" locked="0" layoutInCell="1" allowOverlap="1" wp14:anchorId="3B5BA392" wp14:editId="20DC3659">
            <wp:simplePos x="0" y="0"/>
            <wp:positionH relativeFrom="margin">
              <wp:posOffset>0</wp:posOffset>
            </wp:positionH>
            <wp:positionV relativeFrom="paragraph">
              <wp:posOffset>157480</wp:posOffset>
            </wp:positionV>
            <wp:extent cx="333375" cy="333375"/>
            <wp:effectExtent l="0" t="0" r="9525" b="9525"/>
            <wp:wrapThrough wrapText="bothSides">
              <wp:wrapPolygon edited="0">
                <wp:start x="0" y="0"/>
                <wp:lineTo x="0" y="20983"/>
                <wp:lineTo x="20983" y="20983"/>
                <wp:lineTo x="19749" y="11109"/>
                <wp:lineTo x="13577" y="0"/>
                <wp:lineTo x="0" y="0"/>
              </wp:wrapPolygon>
            </wp:wrapThrough>
            <wp:docPr id="1306174870" name="Gráfico 1" descr="Gráfico de barr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68223" name="Gráfico 823768223" descr="Gráfico de barras con relleno sólido"/>
                    <pic:cNvPicPr/>
                  </pic:nvPicPr>
                  <pic:blipFill>
                    <a:blip r:embed="rId9">
                      <a:extLst>
                        <a:ext uri="{96DAC541-7B7A-43D3-8B79-37D633B846F1}">
                          <asvg:svgBlip xmlns:asvg="http://schemas.microsoft.com/office/drawing/2016/SVG/main" r:embed="rId10"/>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p>
    <w:p w14:paraId="2E781892" w14:textId="05BB4AA3" w:rsidR="009B1169" w:rsidRPr="002A657B" w:rsidRDefault="003A2B69" w:rsidP="002A657B">
      <w:pPr>
        <w:spacing w:after="0" w:line="360" w:lineRule="auto"/>
        <w:jc w:val="both"/>
        <w:rPr>
          <w:rFonts w:ascii="Times New Roman" w:eastAsiaTheme="minorEastAsia" w:hAnsi="Times New Roman" w:cs="Times New Roman"/>
        </w:rPr>
      </w:pPr>
      <w:r w:rsidRPr="002A657B">
        <w:rPr>
          <w:rFonts w:ascii="Times New Roman" w:eastAsiaTheme="minorEastAsia" w:hAnsi="Times New Roman" w:cs="Times New Roman"/>
        </w:rPr>
        <w:t>4.612</w:t>
      </w:r>
      <w:r w:rsidR="00683044" w:rsidRPr="002A657B">
        <w:rPr>
          <w:rFonts w:ascii="Times New Roman" w:eastAsia="Times New Roman" w:hAnsi="Times New Roman" w:cs="Times New Roman"/>
        </w:rPr>
        <w:t xml:space="preserve"> </w:t>
      </w:r>
      <w:r w:rsidR="6C0EEB9F" w:rsidRPr="002A657B">
        <w:rPr>
          <w:rFonts w:ascii="Times New Roman" w:eastAsia="Times New Roman" w:hAnsi="Times New Roman" w:cs="Times New Roman"/>
        </w:rPr>
        <w:t>reportes registrados en el aplicativo dispuesto por la Agencia Nacional de Segu</w:t>
      </w:r>
      <w:r w:rsidR="00610A53" w:rsidRPr="002A657B">
        <w:rPr>
          <w:rFonts w:ascii="Times New Roman" w:eastAsia="Times New Roman" w:hAnsi="Times New Roman" w:cs="Times New Roman"/>
        </w:rPr>
        <w:t xml:space="preserve">ridad Vial, </w:t>
      </w:r>
      <w:r w:rsidR="002A657B" w:rsidRPr="002A657B">
        <w:rPr>
          <w:rFonts w:ascii="Times New Roman" w:eastAsia="Times New Roman" w:hAnsi="Times New Roman" w:cs="Times New Roman"/>
        </w:rPr>
        <w:t>los cuales</w:t>
      </w:r>
      <w:r w:rsidR="00610A53" w:rsidRPr="002A657B">
        <w:rPr>
          <w:rFonts w:ascii="Times New Roman" w:eastAsia="Times New Roman" w:hAnsi="Times New Roman" w:cs="Times New Roman"/>
        </w:rPr>
        <w:t xml:space="preserve"> obedecieron</w:t>
      </w:r>
      <w:r w:rsidR="6C0EEB9F" w:rsidRPr="002A657B">
        <w:rPr>
          <w:rFonts w:ascii="Times New Roman" w:eastAsia="Times New Roman" w:hAnsi="Times New Roman" w:cs="Times New Roman"/>
        </w:rPr>
        <w:t xml:space="preserve"> a las acciones realizadas por la Dirección de Tránsito y Transporte – DITRA </w:t>
      </w:r>
      <w:r w:rsidR="002A657B" w:rsidRPr="002A657B">
        <w:rPr>
          <w:rFonts w:ascii="Times New Roman" w:eastAsia="Times New Roman" w:hAnsi="Times New Roman" w:cs="Times New Roman"/>
        </w:rPr>
        <w:t xml:space="preserve">de la </w:t>
      </w:r>
      <w:r w:rsidR="6C0EEB9F" w:rsidRPr="002A657B">
        <w:rPr>
          <w:rFonts w:ascii="Times New Roman" w:eastAsia="Times New Roman" w:hAnsi="Times New Roman" w:cs="Times New Roman"/>
        </w:rPr>
        <w:t>Policía Nacional.</w:t>
      </w:r>
    </w:p>
    <w:p w14:paraId="30406A95" w14:textId="77777777" w:rsidR="00EA2218" w:rsidRDefault="00EA2218" w:rsidP="002A657B">
      <w:pPr>
        <w:spacing w:after="0" w:line="360" w:lineRule="auto"/>
        <w:jc w:val="both"/>
        <w:rPr>
          <w:rFonts w:ascii="Times New Roman" w:hAnsi="Times New Roman" w:cs="Times New Roman"/>
        </w:rPr>
      </w:pPr>
    </w:p>
    <w:p w14:paraId="008738D9" w14:textId="6DEBC27B" w:rsidR="002A657B" w:rsidRDefault="002A657B" w:rsidP="002A657B">
      <w:pPr>
        <w:spacing w:after="0" w:line="360" w:lineRule="auto"/>
        <w:jc w:val="both"/>
        <w:rPr>
          <w:rFonts w:ascii="Times New Roman" w:hAnsi="Times New Roman" w:cs="Times New Roman"/>
        </w:rPr>
      </w:pPr>
      <w:r w:rsidRPr="002A657B">
        <w:rPr>
          <w:rFonts w:ascii="Times New Roman" w:hAnsi="Times New Roman" w:cs="Times New Roman"/>
        </w:rPr>
        <w:t>Adicionalmente, la ANSV emitió boletines semanales con información consolidada sobre los controles reportados tanto por los OT como por la DITRA, lo que facilitó la visualización de los resultados a nivel nacional. Esta estrategia incentivó a las autoridades de tránsito locales a re</w:t>
      </w:r>
      <w:r>
        <w:rPr>
          <w:rFonts w:ascii="Times New Roman" w:hAnsi="Times New Roman" w:cs="Times New Roman"/>
        </w:rPr>
        <w:t xml:space="preserve">doblar </w:t>
      </w:r>
      <w:r w:rsidRPr="002A657B">
        <w:rPr>
          <w:rFonts w:ascii="Times New Roman" w:hAnsi="Times New Roman" w:cs="Times New Roman"/>
        </w:rPr>
        <w:t>sus esfuerzos, al evidenciar la importancia de las intervenciones mediante comparativos regionales.</w:t>
      </w:r>
    </w:p>
    <w:p w14:paraId="74140EC8" w14:textId="77777777" w:rsidR="00596865" w:rsidRPr="002A657B" w:rsidRDefault="00596865" w:rsidP="002A657B">
      <w:pPr>
        <w:spacing w:after="0" w:line="360" w:lineRule="auto"/>
        <w:jc w:val="both"/>
        <w:rPr>
          <w:rFonts w:ascii="Times New Roman" w:hAnsi="Times New Roman" w:cs="Times New Roman"/>
        </w:rPr>
      </w:pPr>
    </w:p>
    <w:p w14:paraId="5E9C8E82" w14:textId="77777777" w:rsidR="002A657B" w:rsidRPr="002A657B" w:rsidRDefault="002A657B" w:rsidP="002A657B">
      <w:pPr>
        <w:spacing w:after="0" w:line="360" w:lineRule="auto"/>
        <w:rPr>
          <w:rFonts w:ascii="Times New Roman" w:hAnsi="Times New Roman" w:cs="Times New Roman"/>
        </w:rPr>
      </w:pPr>
    </w:p>
    <w:p w14:paraId="6C6DE4BD" w14:textId="342A761F" w:rsidR="009B1169" w:rsidRPr="00310D0E" w:rsidRDefault="00F024CD" w:rsidP="009B1169">
      <w:pPr>
        <w:spacing w:line="360" w:lineRule="auto"/>
        <w:jc w:val="both"/>
        <w:rPr>
          <w:rFonts w:ascii="Times New Roman" w:hAnsi="Times New Roman" w:cs="Times New Roman"/>
          <w:b/>
          <w:bCs/>
        </w:rPr>
      </w:pPr>
      <w:r>
        <w:rPr>
          <w:rFonts w:ascii="Times New Roman" w:hAnsi="Times New Roman" w:cs="Times New Roman"/>
          <w:b/>
          <w:bCs/>
        </w:rPr>
        <w:t xml:space="preserve">3.4 </w:t>
      </w:r>
      <w:r w:rsidR="00310D0E" w:rsidRPr="00310D0E">
        <w:rPr>
          <w:rFonts w:ascii="Times New Roman" w:hAnsi="Times New Roman" w:cs="Times New Roman"/>
          <w:b/>
          <w:bCs/>
        </w:rPr>
        <w:t>L</w:t>
      </w:r>
      <w:r w:rsidR="009B1169" w:rsidRPr="00310D0E">
        <w:rPr>
          <w:rFonts w:ascii="Times New Roman" w:hAnsi="Times New Roman" w:cs="Times New Roman"/>
          <w:b/>
          <w:bCs/>
        </w:rPr>
        <w:t>ogros y desafíos del P</w:t>
      </w:r>
      <w:r w:rsidR="00346EF4" w:rsidRPr="00310D0E">
        <w:rPr>
          <w:rFonts w:ascii="Times New Roman" w:hAnsi="Times New Roman" w:cs="Times New Roman"/>
          <w:b/>
          <w:bCs/>
        </w:rPr>
        <w:t>LAN</w:t>
      </w:r>
      <w:r w:rsidR="009B1169" w:rsidRPr="00310D0E">
        <w:rPr>
          <w:rFonts w:ascii="Times New Roman" w:hAnsi="Times New Roman" w:cs="Times New Roman"/>
          <w:b/>
          <w:bCs/>
        </w:rPr>
        <w:t xml:space="preserve"> </w:t>
      </w:r>
      <w:r w:rsidR="00616DEB">
        <w:rPr>
          <w:rFonts w:ascii="Times New Roman" w:hAnsi="Times New Roman" w:cs="Times New Roman"/>
          <w:b/>
          <w:bCs/>
        </w:rPr>
        <w:t>70D</w:t>
      </w:r>
    </w:p>
    <w:p w14:paraId="240CCA4E" w14:textId="77777777" w:rsidR="00C33948" w:rsidRPr="007356A7" w:rsidRDefault="00C33948" w:rsidP="00C33948">
      <w:pPr>
        <w:spacing w:line="360" w:lineRule="auto"/>
        <w:jc w:val="both"/>
        <w:rPr>
          <w:rFonts w:ascii="Times New Roman" w:hAnsi="Times New Roman" w:cs="Times New Roman"/>
        </w:rPr>
      </w:pPr>
      <w:r w:rsidRPr="007356A7">
        <w:rPr>
          <w:rFonts w:ascii="Times New Roman" w:hAnsi="Times New Roman" w:cs="Times New Roman"/>
        </w:rPr>
        <w:t>Entre los principales logros del PLAN 70D, desde una perspectiva cualitativa, destaca el mayor compromiso de las autoridades locales en la ejecución de acciones de control, lo que resultó en una planificación más eficiente para la implementación de medidas en las vías del país. Hasta la fecha de corte de este documento, las autoridades de tránsito reportaron un total de 6.147 controles realizados en el territorio nacional.</w:t>
      </w:r>
    </w:p>
    <w:p w14:paraId="4A0D84E1" w14:textId="6DDCA5F5" w:rsidR="00C33948" w:rsidRDefault="00C33948" w:rsidP="00C33948">
      <w:pPr>
        <w:spacing w:line="360" w:lineRule="auto"/>
        <w:jc w:val="both"/>
        <w:rPr>
          <w:rFonts w:ascii="Times New Roman" w:hAnsi="Times New Roman" w:cs="Times New Roman"/>
        </w:rPr>
      </w:pPr>
      <w:r w:rsidRPr="007356A7">
        <w:rPr>
          <w:rFonts w:ascii="Times New Roman" w:hAnsi="Times New Roman" w:cs="Times New Roman"/>
        </w:rPr>
        <w:t xml:space="preserve">Sin embargo, los actores involucrados identificaron varios desafíos durante la implementación del PLAN 70D, entre los que se encuentran: </w:t>
      </w:r>
      <w:r w:rsidR="008A124D" w:rsidRPr="007356A7">
        <w:rPr>
          <w:rFonts w:ascii="Times New Roman" w:hAnsi="Times New Roman" w:cs="Times New Roman"/>
        </w:rPr>
        <w:t xml:space="preserve">i) la insuficiencia de recursos humanos, técnicos y tecnológicos disponibles para que las autoridades de tránsito ejerzan de manera efectiva las acciones de control; </w:t>
      </w:r>
      <w:r w:rsidRPr="007356A7">
        <w:rPr>
          <w:rFonts w:ascii="Times New Roman" w:hAnsi="Times New Roman" w:cs="Times New Roman"/>
        </w:rPr>
        <w:t>ii) la baja receptividad de la ciudadanía frente al cumplimiento de las normas de tránsito y transporte;</w:t>
      </w:r>
      <w:r w:rsidR="008A124D" w:rsidRPr="007356A7">
        <w:rPr>
          <w:rFonts w:ascii="Times New Roman" w:hAnsi="Times New Roman" w:cs="Times New Roman"/>
        </w:rPr>
        <w:t xml:space="preserve"> </w:t>
      </w:r>
      <w:r w:rsidRPr="007356A7">
        <w:rPr>
          <w:rFonts w:ascii="Times New Roman" w:hAnsi="Times New Roman" w:cs="Times New Roman"/>
        </w:rPr>
        <w:t>iii) en menor medida, la limitada articulación intersectorial en ciertas regiones;</w:t>
      </w:r>
      <w:r w:rsidR="008A124D" w:rsidRPr="007356A7">
        <w:rPr>
          <w:rFonts w:ascii="Times New Roman" w:hAnsi="Times New Roman" w:cs="Times New Roman"/>
        </w:rPr>
        <w:t xml:space="preserve"> </w:t>
      </w:r>
      <w:r w:rsidRPr="007356A7">
        <w:rPr>
          <w:rFonts w:ascii="Times New Roman" w:hAnsi="Times New Roman" w:cs="Times New Roman"/>
        </w:rPr>
        <w:t xml:space="preserve">iv) dificultades operativas relacionadas con el manejo del aplicativo utilizado </w:t>
      </w:r>
      <w:r w:rsidR="008A124D" w:rsidRPr="007356A7">
        <w:rPr>
          <w:rFonts w:ascii="Times New Roman" w:hAnsi="Times New Roman" w:cs="Times New Roman"/>
        </w:rPr>
        <w:t xml:space="preserve">para el reporte de información. </w:t>
      </w:r>
      <w:r w:rsidR="0075452D">
        <w:rPr>
          <w:rFonts w:ascii="Times New Roman" w:hAnsi="Times New Roman" w:cs="Times New Roman"/>
        </w:rPr>
        <w:t>Estos desafíos evidenciaron</w:t>
      </w:r>
      <w:r w:rsidRPr="007356A7">
        <w:rPr>
          <w:rFonts w:ascii="Times New Roman" w:hAnsi="Times New Roman" w:cs="Times New Roman"/>
        </w:rPr>
        <w:t xml:space="preserve"> áreas clave que requieren fortalecimiento para optimizar los resultados y garantizar una implementación más robusta en futuras ediciones del </w:t>
      </w:r>
      <w:r w:rsidR="008A124D" w:rsidRPr="007356A7">
        <w:rPr>
          <w:rFonts w:ascii="Times New Roman" w:hAnsi="Times New Roman" w:cs="Times New Roman"/>
        </w:rPr>
        <w:t>PLAN</w:t>
      </w:r>
      <w:r w:rsidR="001B72AA">
        <w:rPr>
          <w:rFonts w:ascii="Times New Roman" w:hAnsi="Times New Roman" w:cs="Times New Roman"/>
        </w:rPr>
        <w:t xml:space="preserve"> 70D. </w:t>
      </w:r>
    </w:p>
    <w:p w14:paraId="1BA2A160" w14:textId="77777777" w:rsidR="001B72AA" w:rsidRDefault="001B72AA" w:rsidP="00C33948">
      <w:pPr>
        <w:spacing w:line="360" w:lineRule="auto"/>
        <w:jc w:val="both"/>
        <w:rPr>
          <w:rFonts w:ascii="Times New Roman" w:hAnsi="Times New Roman" w:cs="Times New Roman"/>
        </w:rPr>
      </w:pPr>
    </w:p>
    <w:p w14:paraId="5CFC0745" w14:textId="77777777" w:rsidR="001B72AA" w:rsidRDefault="001B72AA" w:rsidP="00C33948">
      <w:pPr>
        <w:spacing w:line="360" w:lineRule="auto"/>
        <w:jc w:val="both"/>
        <w:rPr>
          <w:rFonts w:ascii="Times New Roman" w:hAnsi="Times New Roman" w:cs="Times New Roman"/>
        </w:rPr>
      </w:pPr>
    </w:p>
    <w:p w14:paraId="3B37488E" w14:textId="4B4BED38" w:rsidR="00810AC7" w:rsidRPr="00F024CD" w:rsidRDefault="00F024CD" w:rsidP="00F024CD">
      <w:pPr>
        <w:spacing w:after="0" w:line="360" w:lineRule="auto"/>
        <w:rPr>
          <w:rFonts w:ascii="Times New Roman" w:hAnsi="Times New Roman" w:cs="Times New Roman"/>
        </w:rPr>
      </w:pPr>
      <w:r>
        <w:rPr>
          <w:rFonts w:ascii="Times New Roman" w:hAnsi="Times New Roman" w:cs="Times New Roman"/>
          <w:b/>
          <w:bCs/>
        </w:rPr>
        <w:lastRenderedPageBreak/>
        <w:t xml:space="preserve">4. </w:t>
      </w:r>
      <w:r w:rsidR="08BB9A3E" w:rsidRPr="00F024CD">
        <w:rPr>
          <w:rFonts w:ascii="Times New Roman" w:hAnsi="Times New Roman" w:cs="Times New Roman"/>
          <w:b/>
          <w:bCs/>
        </w:rPr>
        <w:t xml:space="preserve">Análisis </w:t>
      </w:r>
      <w:r w:rsidR="005C235C" w:rsidRPr="00F024CD">
        <w:rPr>
          <w:rFonts w:ascii="Times New Roman" w:hAnsi="Times New Roman" w:cs="Times New Roman"/>
          <w:b/>
          <w:bCs/>
        </w:rPr>
        <w:t>cuantitativo</w:t>
      </w:r>
      <w:r w:rsidR="08BB9A3E" w:rsidRPr="00F024CD">
        <w:rPr>
          <w:rFonts w:ascii="Times New Roman" w:hAnsi="Times New Roman" w:cs="Times New Roman"/>
          <w:b/>
          <w:bCs/>
        </w:rPr>
        <w:t xml:space="preserve"> de impacto</w:t>
      </w:r>
      <w:r w:rsidR="00810AC7" w:rsidRPr="00F024CD">
        <w:rPr>
          <w:rFonts w:ascii="Times New Roman" w:hAnsi="Times New Roman" w:cs="Times New Roman"/>
          <w:b/>
          <w:bCs/>
        </w:rPr>
        <w:t xml:space="preserve">     </w:t>
      </w:r>
    </w:p>
    <w:p w14:paraId="7B6B605B" w14:textId="77777777" w:rsidR="00810AC7" w:rsidRPr="00810AC7" w:rsidRDefault="00810AC7" w:rsidP="00810AC7">
      <w:pPr>
        <w:pStyle w:val="Prrafodelista"/>
        <w:spacing w:after="0" w:line="360" w:lineRule="auto"/>
        <w:rPr>
          <w:rFonts w:ascii="Times New Roman" w:hAnsi="Times New Roman" w:cs="Times New Roman"/>
          <w:highlight w:val="magenta"/>
        </w:rPr>
      </w:pPr>
    </w:p>
    <w:p w14:paraId="47331D1E" w14:textId="3DDA17F0" w:rsidR="00293BA5" w:rsidRPr="00293BA5" w:rsidRDefault="00293BA5" w:rsidP="00293BA5">
      <w:pPr>
        <w:spacing w:after="0" w:line="360" w:lineRule="auto"/>
        <w:jc w:val="both"/>
        <w:rPr>
          <w:rFonts w:ascii="Times New Roman" w:hAnsi="Times New Roman" w:cs="Times New Roman"/>
          <w:color w:val="000000" w:themeColor="text1"/>
        </w:rPr>
      </w:pPr>
      <w:r w:rsidRPr="00293BA5">
        <w:rPr>
          <w:rFonts w:ascii="Times New Roman" w:hAnsi="Times New Roman" w:cs="Times New Roman"/>
          <w:bCs/>
        </w:rPr>
        <w:t xml:space="preserve">El análisis cuantitativo de la información se basó en los datos proporcionados por la ANSV y el ONSV hasta el 10 de enero de 2025, fecha de culminación del Plan 70D. </w:t>
      </w:r>
      <w:r>
        <w:rPr>
          <w:rFonts w:ascii="Times New Roman" w:hAnsi="Times New Roman" w:cs="Times New Roman"/>
          <w:color w:val="000000" w:themeColor="text1"/>
        </w:rPr>
        <w:t>El análisis de estas cifras</w:t>
      </w:r>
      <w:r w:rsidRPr="00293BA5">
        <w:rPr>
          <w:rFonts w:ascii="Times New Roman" w:hAnsi="Times New Roman" w:cs="Times New Roman"/>
          <w:color w:val="000000" w:themeColor="text1"/>
        </w:rPr>
        <w:t xml:space="preserve"> se centró en las siguientes variables: </w:t>
      </w:r>
    </w:p>
    <w:p w14:paraId="0EF0DD2C" w14:textId="77777777" w:rsidR="00293BA5" w:rsidRPr="00810AC7" w:rsidRDefault="00293BA5" w:rsidP="00293BA5">
      <w:pPr>
        <w:spacing w:after="0" w:line="360" w:lineRule="auto"/>
        <w:jc w:val="both"/>
        <w:rPr>
          <w:rFonts w:ascii="Times New Roman" w:hAnsi="Times New Roman" w:cs="Times New Roman"/>
          <w:color w:val="000000" w:themeColor="text1"/>
        </w:rPr>
      </w:pPr>
    </w:p>
    <w:p w14:paraId="66DD2C42" w14:textId="5AAE5E32" w:rsidR="00810AC7" w:rsidRPr="001D5133" w:rsidRDefault="00596865" w:rsidP="00293BA5">
      <w:pPr>
        <w:spacing w:after="0" w:line="360" w:lineRule="auto"/>
        <w:rPr>
          <w:rFonts w:ascii="Times New Roman" w:hAnsi="Times New Roman" w:cs="Times New Roman"/>
          <w:b/>
          <w:bCs/>
        </w:rPr>
      </w:pPr>
      <w:r>
        <w:rPr>
          <w:rFonts w:ascii="Times New Roman" w:hAnsi="Times New Roman" w:cs="Times New Roman"/>
          <w:b/>
          <w:bCs/>
        </w:rPr>
        <w:t xml:space="preserve">4.1 </w:t>
      </w:r>
      <w:r w:rsidR="00DE058E">
        <w:rPr>
          <w:rFonts w:ascii="Times New Roman" w:hAnsi="Times New Roman" w:cs="Times New Roman"/>
          <w:b/>
          <w:bCs/>
        </w:rPr>
        <w:t>Nú</w:t>
      </w:r>
      <w:r w:rsidR="00810AC7" w:rsidRPr="001D5133">
        <w:rPr>
          <w:rFonts w:ascii="Times New Roman" w:hAnsi="Times New Roman" w:cs="Times New Roman"/>
          <w:b/>
          <w:bCs/>
        </w:rPr>
        <w:t xml:space="preserve">mero de reportes </w:t>
      </w:r>
      <w:r w:rsidR="00CD5824" w:rsidRPr="001D5133">
        <w:rPr>
          <w:rFonts w:ascii="Times New Roman" w:hAnsi="Times New Roman" w:cs="Times New Roman"/>
          <w:b/>
          <w:bCs/>
        </w:rPr>
        <w:t>PLAN</w:t>
      </w:r>
      <w:r w:rsidR="00DE058E">
        <w:rPr>
          <w:rFonts w:ascii="Times New Roman" w:hAnsi="Times New Roman" w:cs="Times New Roman"/>
          <w:b/>
          <w:bCs/>
        </w:rPr>
        <w:t xml:space="preserve"> 70D, desagregados por semanas</w:t>
      </w:r>
      <w:r w:rsidR="00810AC7" w:rsidRPr="001D5133">
        <w:rPr>
          <w:rFonts w:ascii="Times New Roman" w:hAnsi="Times New Roman" w:cs="Times New Roman"/>
          <w:b/>
          <w:bCs/>
        </w:rPr>
        <w:t xml:space="preserve"> </w:t>
      </w:r>
    </w:p>
    <w:p w14:paraId="4DF7DBAF" w14:textId="77777777" w:rsidR="00810AC7" w:rsidRPr="001D5133" w:rsidRDefault="00810AC7" w:rsidP="00810AC7">
      <w:pPr>
        <w:pStyle w:val="Prrafodelista"/>
        <w:spacing w:after="0" w:line="360" w:lineRule="auto"/>
        <w:rPr>
          <w:rFonts w:ascii="Times New Roman" w:hAnsi="Times New Roman" w:cs="Times New Roman"/>
          <w:b/>
          <w:bCs/>
        </w:rPr>
      </w:pPr>
    </w:p>
    <w:p w14:paraId="7A9A30F7" w14:textId="1D2A52D6" w:rsidR="0075452D" w:rsidRPr="00810AC7" w:rsidRDefault="0075452D" w:rsidP="0075452D">
      <w:pPr>
        <w:spacing w:line="360" w:lineRule="auto"/>
        <w:jc w:val="both"/>
        <w:rPr>
          <w:rFonts w:ascii="Times New Roman" w:hAnsi="Times New Roman" w:cs="Times New Roman"/>
          <w:color w:val="000000" w:themeColor="text1"/>
        </w:rPr>
      </w:pPr>
      <w:r w:rsidRPr="0075452D">
        <w:rPr>
          <w:rFonts w:ascii="Times New Roman" w:hAnsi="Times New Roman" w:cs="Times New Roman"/>
          <w:color w:val="000000" w:themeColor="text1"/>
        </w:rPr>
        <w:t>Durante las 11 semanas de implementación del PLAN 70D, según los datos de la ANSV, se registraron un total de 6.164 reportes, desagr</w:t>
      </w:r>
      <w:r>
        <w:rPr>
          <w:rFonts w:ascii="Times New Roman" w:hAnsi="Times New Roman" w:cs="Times New Roman"/>
          <w:color w:val="000000" w:themeColor="text1"/>
        </w:rPr>
        <w:t>egados por semana, lo que reflejó</w:t>
      </w:r>
      <w:r w:rsidRPr="0075452D">
        <w:rPr>
          <w:rFonts w:ascii="Times New Roman" w:hAnsi="Times New Roman" w:cs="Times New Roman"/>
          <w:color w:val="000000" w:themeColor="text1"/>
        </w:rPr>
        <w:t xml:space="preserve"> un promedio de 560 reportes a lo largo de la ejecución del PLAN 70D. Solo durante las semanas 1, 8, 10 y 11 se reportaron cifras por debajo de este promedio.</w:t>
      </w:r>
    </w:p>
    <w:p w14:paraId="5DC6B58D" w14:textId="77777777" w:rsidR="00810AC7" w:rsidRPr="001D5133" w:rsidRDefault="00810AC7" w:rsidP="00810AC7">
      <w:pPr>
        <w:spacing w:line="360" w:lineRule="auto"/>
        <w:rPr>
          <w:rFonts w:ascii="Times New Roman" w:hAnsi="Times New Roman" w:cs="Times New Roman"/>
        </w:rPr>
      </w:pPr>
      <w:r>
        <w:rPr>
          <w:noProof/>
          <w:lang w:eastAsia="es-CO"/>
        </w:rPr>
        <w:drawing>
          <wp:inline distT="0" distB="0" distL="0" distR="0" wp14:anchorId="30A03BBD" wp14:editId="25A0BFE1">
            <wp:extent cx="5910262" cy="1895475"/>
            <wp:effectExtent l="0" t="0" r="0" b="0"/>
            <wp:docPr id="1366604338" name="Gráfico 1">
              <a:extLst xmlns:a="http://schemas.openxmlformats.org/drawingml/2006/main">
                <a:ext uri="{FF2B5EF4-FFF2-40B4-BE49-F238E27FC236}">
                  <a16:creationId xmlns:a16="http://schemas.microsoft.com/office/drawing/2014/main" id="{C032AF1D-5BB0-409D-BB2F-1A725FC0C8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C2F3F1B" w14:textId="77777777" w:rsidR="00BB0D2C" w:rsidRDefault="00BB0D2C" w:rsidP="00BB0D2C">
      <w:pPr>
        <w:spacing w:line="360" w:lineRule="auto"/>
        <w:jc w:val="both"/>
        <w:rPr>
          <w:rFonts w:ascii="Times New Roman" w:hAnsi="Times New Roman" w:cs="Times New Roman"/>
        </w:rPr>
      </w:pPr>
      <w:r>
        <w:rPr>
          <w:rFonts w:ascii="Times New Roman" w:hAnsi="Times New Roman" w:cs="Times New Roman"/>
        </w:rPr>
        <w:t>Fuente: elaboración propia</w:t>
      </w:r>
    </w:p>
    <w:p w14:paraId="2B2FC056" w14:textId="5D17B5AC" w:rsidR="00810AC7" w:rsidRPr="00E10634" w:rsidRDefault="00810AC7" w:rsidP="00810AC7">
      <w:pPr>
        <w:pStyle w:val="Prrafodelista"/>
        <w:numPr>
          <w:ilvl w:val="0"/>
          <w:numId w:val="16"/>
        </w:numPr>
        <w:spacing w:line="360" w:lineRule="auto"/>
        <w:rPr>
          <w:rFonts w:ascii="Times New Roman" w:hAnsi="Times New Roman" w:cs="Times New Roman"/>
          <w:color w:val="0E2841" w:themeColor="text2"/>
        </w:rPr>
      </w:pPr>
      <w:r w:rsidRPr="00E10634">
        <w:rPr>
          <w:rFonts w:ascii="Times New Roman" w:hAnsi="Times New Roman" w:cs="Times New Roman"/>
          <w:b/>
          <w:bCs/>
          <w:color w:val="222222"/>
          <w:shd w:val="clear" w:color="auto" w:fill="FFFFFF"/>
        </w:rPr>
        <w:t xml:space="preserve">Acciones desarrolladas por la ANSV </w:t>
      </w:r>
    </w:p>
    <w:p w14:paraId="562EBF39" w14:textId="258DC1B4" w:rsidR="0075452D" w:rsidRPr="0075452D" w:rsidRDefault="0075452D" w:rsidP="00810AC7">
      <w:pPr>
        <w:spacing w:line="360" w:lineRule="auto"/>
        <w:jc w:val="both"/>
        <w:rPr>
          <w:rFonts w:ascii="Times New Roman" w:hAnsi="Times New Roman" w:cs="Times New Roman"/>
        </w:rPr>
      </w:pPr>
      <w:r>
        <w:rPr>
          <w:rFonts w:ascii="Times New Roman" w:hAnsi="Times New Roman" w:cs="Times New Roman"/>
        </w:rPr>
        <w:t>Otro aspecto relevante fueron</w:t>
      </w:r>
      <w:r w:rsidRPr="0075452D">
        <w:rPr>
          <w:rFonts w:ascii="Times New Roman" w:hAnsi="Times New Roman" w:cs="Times New Roman"/>
        </w:rPr>
        <w:t xml:space="preserve"> las acciones preventivas y pedagógicas realizadas por la ANSV, a través de la implementación de su oferta institucional en los territorios, enfocada en los actores viales más vulnerables. Estas acciones incluyeron programas como: Moto destrezas, bici destrezas, y temas relacionados con la velocidad, el consumo de alcohol, el exceso de horas de conducción y la fatiga.</w:t>
      </w:r>
    </w:p>
    <w:p w14:paraId="29C49935" w14:textId="77777777" w:rsidR="00810AC7" w:rsidRPr="001D5133" w:rsidRDefault="00810AC7" w:rsidP="00810AC7">
      <w:pPr>
        <w:spacing w:line="360" w:lineRule="auto"/>
        <w:jc w:val="both"/>
        <w:rPr>
          <w:rFonts w:ascii="Times New Roman" w:hAnsi="Times New Roman" w:cs="Times New Roman"/>
        </w:rPr>
      </w:pPr>
      <w:r w:rsidRPr="001D5133">
        <w:rPr>
          <w:rFonts w:ascii="Times New Roman" w:hAnsi="Times New Roman" w:cs="Times New Roman"/>
          <w:noProof/>
          <w:lang w:eastAsia="es-CO"/>
        </w:rPr>
        <w:drawing>
          <wp:anchor distT="0" distB="0" distL="114300" distR="114300" simplePos="0" relativeHeight="251675650" behindDoc="0" locked="0" layoutInCell="1" allowOverlap="1" wp14:anchorId="126DB806" wp14:editId="163987C3">
            <wp:simplePos x="0" y="0"/>
            <wp:positionH relativeFrom="column">
              <wp:posOffset>2806065</wp:posOffset>
            </wp:positionH>
            <wp:positionV relativeFrom="paragraph">
              <wp:posOffset>3810</wp:posOffset>
            </wp:positionV>
            <wp:extent cx="1475105" cy="798830"/>
            <wp:effectExtent l="0" t="0" r="0" b="1270"/>
            <wp:wrapThrough wrapText="bothSides">
              <wp:wrapPolygon edited="0">
                <wp:start x="0" y="0"/>
                <wp:lineTo x="0" y="21119"/>
                <wp:lineTo x="21200" y="21119"/>
                <wp:lineTo x="21200" y="0"/>
                <wp:lineTo x="0" y="0"/>
              </wp:wrapPolygon>
            </wp:wrapThrough>
            <wp:docPr id="904242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42300"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1475105" cy="798830"/>
                    </a:xfrm>
                    <a:prstGeom prst="rect">
                      <a:avLst/>
                    </a:prstGeom>
                  </pic:spPr>
                </pic:pic>
              </a:graphicData>
            </a:graphic>
            <wp14:sizeRelH relativeFrom="margin">
              <wp14:pctWidth>0</wp14:pctWidth>
            </wp14:sizeRelH>
            <wp14:sizeRelV relativeFrom="margin">
              <wp14:pctHeight>0</wp14:pctHeight>
            </wp14:sizeRelV>
          </wp:anchor>
        </w:drawing>
      </w:r>
      <w:r w:rsidRPr="00F15DE6">
        <w:rPr>
          <w:rFonts w:ascii="Times New Roman" w:hAnsi="Times New Roman" w:cs="Times New Roman"/>
          <w:noProof/>
          <w:lang w:eastAsia="es-CO"/>
        </w:rPr>
        <w:drawing>
          <wp:anchor distT="0" distB="0" distL="114300" distR="114300" simplePos="0" relativeHeight="251676674" behindDoc="0" locked="0" layoutInCell="1" allowOverlap="1" wp14:anchorId="381A058E" wp14:editId="5953D786">
            <wp:simplePos x="0" y="0"/>
            <wp:positionH relativeFrom="column">
              <wp:posOffset>1094740</wp:posOffset>
            </wp:positionH>
            <wp:positionV relativeFrom="paragraph">
              <wp:posOffset>8890</wp:posOffset>
            </wp:positionV>
            <wp:extent cx="1532255" cy="796925"/>
            <wp:effectExtent l="0" t="0" r="0" b="3175"/>
            <wp:wrapThrough wrapText="bothSides">
              <wp:wrapPolygon edited="0">
                <wp:start x="0" y="0"/>
                <wp:lineTo x="0" y="21170"/>
                <wp:lineTo x="21215" y="21170"/>
                <wp:lineTo x="21215" y="0"/>
                <wp:lineTo x="0" y="0"/>
              </wp:wrapPolygon>
            </wp:wrapThrough>
            <wp:docPr id="1142133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332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1532255" cy="796925"/>
                    </a:xfrm>
                    <a:prstGeom prst="rect">
                      <a:avLst/>
                    </a:prstGeom>
                  </pic:spPr>
                </pic:pic>
              </a:graphicData>
            </a:graphic>
            <wp14:sizeRelV relativeFrom="margin">
              <wp14:pctHeight>0</wp14:pctHeight>
            </wp14:sizeRelV>
          </wp:anchor>
        </w:drawing>
      </w:r>
    </w:p>
    <w:p w14:paraId="76364378" w14:textId="77777777" w:rsidR="00810AC7" w:rsidRPr="001D5133" w:rsidRDefault="00810AC7" w:rsidP="00810AC7">
      <w:pPr>
        <w:spacing w:line="360" w:lineRule="auto"/>
        <w:rPr>
          <w:rFonts w:ascii="Times New Roman" w:hAnsi="Times New Roman" w:cs="Times New Roman"/>
          <w:color w:val="0E2841" w:themeColor="text2"/>
        </w:rPr>
      </w:pPr>
    </w:p>
    <w:p w14:paraId="1AC73BCC" w14:textId="77777777" w:rsidR="00810AC7" w:rsidRDefault="00810AC7" w:rsidP="00810AC7">
      <w:pPr>
        <w:spacing w:line="360" w:lineRule="auto"/>
        <w:rPr>
          <w:rFonts w:ascii="Times New Roman" w:hAnsi="Times New Roman" w:cs="Times New Roman"/>
          <w:noProof/>
        </w:rPr>
      </w:pPr>
      <w:r w:rsidRPr="001D5133">
        <w:rPr>
          <w:rFonts w:ascii="Times New Roman" w:hAnsi="Times New Roman" w:cs="Times New Roman"/>
          <w:color w:val="0E2841" w:themeColor="text2"/>
        </w:rPr>
        <w:t xml:space="preserve"> </w:t>
      </w:r>
    </w:p>
    <w:p w14:paraId="684DB57B" w14:textId="77777777" w:rsidR="00810AC7" w:rsidRDefault="00810AC7" w:rsidP="00810AC7">
      <w:pPr>
        <w:spacing w:line="360" w:lineRule="auto"/>
        <w:rPr>
          <w:rFonts w:ascii="Times New Roman" w:hAnsi="Times New Roman" w:cs="Times New Roman"/>
          <w:noProof/>
        </w:rPr>
      </w:pPr>
      <w:r>
        <w:rPr>
          <w:rFonts w:ascii="Times New Roman" w:hAnsi="Times New Roman" w:cs="Times New Roman"/>
          <w:noProof/>
          <w:lang w:eastAsia="es-CO"/>
        </w:rPr>
        <w:lastRenderedPageBreak/>
        <w:drawing>
          <wp:inline distT="0" distB="0" distL="0" distR="0" wp14:anchorId="00801FB4" wp14:editId="4E4CDEB5">
            <wp:extent cx="5937668" cy="1688756"/>
            <wp:effectExtent l="0" t="0" r="0" b="0"/>
            <wp:docPr id="3239688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2481" cy="1695813"/>
                    </a:xfrm>
                    <a:prstGeom prst="rect">
                      <a:avLst/>
                    </a:prstGeom>
                    <a:noFill/>
                  </pic:spPr>
                </pic:pic>
              </a:graphicData>
            </a:graphic>
          </wp:inline>
        </w:drawing>
      </w:r>
    </w:p>
    <w:p w14:paraId="7E8F4D44" w14:textId="77777777" w:rsidR="00BB0D2C" w:rsidRDefault="00BB0D2C" w:rsidP="00BB0D2C">
      <w:pPr>
        <w:spacing w:line="360" w:lineRule="auto"/>
        <w:jc w:val="both"/>
        <w:rPr>
          <w:rFonts w:ascii="Times New Roman" w:hAnsi="Times New Roman" w:cs="Times New Roman"/>
        </w:rPr>
      </w:pPr>
      <w:r>
        <w:rPr>
          <w:rFonts w:ascii="Times New Roman" w:hAnsi="Times New Roman" w:cs="Times New Roman"/>
        </w:rPr>
        <w:t>Fuente: elaboración propia</w:t>
      </w:r>
    </w:p>
    <w:p w14:paraId="08382E9E" w14:textId="77777777" w:rsidR="00810AC7" w:rsidRDefault="00810AC7" w:rsidP="0075452D">
      <w:pPr>
        <w:spacing w:line="360" w:lineRule="auto"/>
        <w:jc w:val="both"/>
        <w:rPr>
          <w:rFonts w:ascii="Times New Roman" w:hAnsi="Times New Roman" w:cs="Times New Roman"/>
        </w:rPr>
      </w:pPr>
      <w:r w:rsidRPr="0075452D">
        <w:rPr>
          <w:rFonts w:ascii="Times New Roman" w:hAnsi="Times New Roman" w:cs="Times New Roman"/>
        </w:rPr>
        <w:t xml:space="preserve">Acciones preventivas y de pedagogía realizadas por la ANSV, en el marco del Plan 70D. </w:t>
      </w:r>
    </w:p>
    <w:p w14:paraId="55D309E3" w14:textId="77777777" w:rsidR="00BB0D2C" w:rsidRPr="0075452D" w:rsidRDefault="00BB0D2C" w:rsidP="0075452D">
      <w:pPr>
        <w:spacing w:line="360" w:lineRule="auto"/>
        <w:jc w:val="both"/>
        <w:rPr>
          <w:rFonts w:ascii="Times New Roman" w:hAnsi="Times New Roman" w:cs="Times New Roman"/>
          <w:noProof/>
        </w:rPr>
      </w:pPr>
    </w:p>
    <w:p w14:paraId="6E610B55" w14:textId="77777777" w:rsidR="00810AC7" w:rsidRPr="001D5133" w:rsidRDefault="00810AC7" w:rsidP="00810AC7">
      <w:pPr>
        <w:pStyle w:val="Prrafodelista"/>
        <w:numPr>
          <w:ilvl w:val="0"/>
          <w:numId w:val="16"/>
        </w:numPr>
        <w:spacing w:line="360" w:lineRule="auto"/>
        <w:rPr>
          <w:rFonts w:ascii="Times New Roman" w:hAnsi="Times New Roman" w:cs="Times New Roman"/>
          <w:b/>
          <w:bCs/>
        </w:rPr>
      </w:pPr>
      <w:r w:rsidRPr="001D5133">
        <w:rPr>
          <w:rFonts w:ascii="Times New Roman" w:hAnsi="Times New Roman" w:cs="Times New Roman"/>
          <w:b/>
          <w:bCs/>
        </w:rPr>
        <w:t>¿Quiénes reportan las acciones?</w:t>
      </w:r>
    </w:p>
    <w:p w14:paraId="6E137889" w14:textId="77777777" w:rsidR="0075452D" w:rsidRPr="0075452D" w:rsidRDefault="0075452D" w:rsidP="0075452D">
      <w:pPr>
        <w:spacing w:line="360" w:lineRule="auto"/>
        <w:jc w:val="both"/>
        <w:rPr>
          <w:rFonts w:ascii="Times New Roman" w:hAnsi="Times New Roman" w:cs="Times New Roman"/>
        </w:rPr>
      </w:pPr>
      <w:r w:rsidRPr="0075452D">
        <w:rPr>
          <w:rFonts w:ascii="Times New Roman" w:hAnsi="Times New Roman" w:cs="Times New Roman"/>
        </w:rPr>
        <w:t>La presencia institucional y el trabajo conjunto fueron esenciales para reducir la siniestralidad. De las acciones reportadas, 4.618 registros correspondieron a los organismos de tránsito que desplegaron sus operativos a nivel nacional. Esto se complementó con la colaboración con las concesiones, los grupos de pedagogía y educación vial, así como con los reguladores viales. También se destacó el trabajo articulado realizado con las concesiones y otras entidades comprometidas con salvar vidas durante esta temporada.</w:t>
      </w:r>
    </w:p>
    <w:p w14:paraId="48B72F96" w14:textId="77777777" w:rsidR="00810AC7" w:rsidRPr="001D5133" w:rsidRDefault="00810AC7" w:rsidP="00BB0D2C">
      <w:pPr>
        <w:spacing w:after="0" w:line="240" w:lineRule="auto"/>
        <w:rPr>
          <w:rFonts w:ascii="Times New Roman" w:hAnsi="Times New Roman" w:cs="Times New Roman"/>
        </w:rPr>
      </w:pPr>
      <w:r>
        <w:rPr>
          <w:noProof/>
          <w:lang w:eastAsia="es-CO"/>
        </w:rPr>
        <w:drawing>
          <wp:inline distT="0" distB="0" distL="0" distR="0" wp14:anchorId="7608A6EF" wp14:editId="087AB93E">
            <wp:extent cx="5648325" cy="1652587"/>
            <wp:effectExtent l="0" t="0" r="0" b="0"/>
            <wp:docPr id="1047836643" name="Gráfico 1">
              <a:extLst xmlns:a="http://schemas.openxmlformats.org/drawingml/2006/main">
                <a:ext uri="{FF2B5EF4-FFF2-40B4-BE49-F238E27FC236}">
                  <a16:creationId xmlns:a16="http://schemas.microsoft.com/office/drawing/2014/main" id="{08F46B0E-8234-4ABC-9446-5FD902FD38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7213000" w14:textId="77777777" w:rsidR="00BB0D2C" w:rsidRDefault="00BB0D2C" w:rsidP="00BB0D2C">
      <w:pPr>
        <w:spacing w:line="360" w:lineRule="auto"/>
        <w:jc w:val="both"/>
        <w:rPr>
          <w:rFonts w:ascii="Times New Roman" w:hAnsi="Times New Roman" w:cs="Times New Roman"/>
        </w:rPr>
      </w:pPr>
      <w:r>
        <w:rPr>
          <w:rFonts w:ascii="Times New Roman" w:hAnsi="Times New Roman" w:cs="Times New Roman"/>
        </w:rPr>
        <w:t>Fuente: elaboración propia</w:t>
      </w:r>
    </w:p>
    <w:p w14:paraId="644C6A6A" w14:textId="77777777" w:rsidR="00BB0D2C" w:rsidRDefault="00BB0D2C" w:rsidP="00BB0D2C">
      <w:pPr>
        <w:pStyle w:val="Prrafodelista"/>
        <w:spacing w:after="0" w:line="360" w:lineRule="auto"/>
        <w:rPr>
          <w:rFonts w:ascii="Times New Roman" w:hAnsi="Times New Roman" w:cs="Times New Roman"/>
          <w:b/>
          <w:bCs/>
        </w:rPr>
      </w:pPr>
    </w:p>
    <w:p w14:paraId="36A96EC0" w14:textId="54A1FC46" w:rsidR="00810AC7" w:rsidRDefault="00810AC7" w:rsidP="00810AC7">
      <w:pPr>
        <w:pStyle w:val="Prrafodelista"/>
        <w:numPr>
          <w:ilvl w:val="0"/>
          <w:numId w:val="16"/>
        </w:numPr>
        <w:spacing w:after="0" w:line="360" w:lineRule="auto"/>
        <w:rPr>
          <w:rFonts w:ascii="Times New Roman" w:hAnsi="Times New Roman" w:cs="Times New Roman"/>
          <w:b/>
          <w:bCs/>
        </w:rPr>
      </w:pPr>
      <w:r w:rsidRPr="001D5133">
        <w:rPr>
          <w:rFonts w:ascii="Times New Roman" w:hAnsi="Times New Roman" w:cs="Times New Roman"/>
          <w:b/>
          <w:bCs/>
        </w:rPr>
        <w:t xml:space="preserve">Puntos de control - </w:t>
      </w:r>
      <w:r w:rsidR="00DE058E" w:rsidRPr="001D5133">
        <w:rPr>
          <w:rFonts w:ascii="Times New Roman" w:hAnsi="Times New Roman" w:cs="Times New Roman"/>
          <w:b/>
          <w:bCs/>
        </w:rPr>
        <w:t>PLAN</w:t>
      </w:r>
      <w:r w:rsidRPr="001D5133">
        <w:rPr>
          <w:rFonts w:ascii="Times New Roman" w:hAnsi="Times New Roman" w:cs="Times New Roman"/>
          <w:b/>
          <w:bCs/>
        </w:rPr>
        <w:t xml:space="preserve"> 70D</w:t>
      </w:r>
    </w:p>
    <w:p w14:paraId="0971068F" w14:textId="77777777" w:rsidR="00DE058E" w:rsidRDefault="00DE058E" w:rsidP="00DE058E">
      <w:pPr>
        <w:spacing w:after="0" w:line="360" w:lineRule="auto"/>
        <w:rPr>
          <w:rFonts w:ascii="Times New Roman" w:hAnsi="Times New Roman" w:cs="Times New Roman"/>
          <w:b/>
          <w:bCs/>
        </w:rPr>
      </w:pPr>
    </w:p>
    <w:p w14:paraId="54109176" w14:textId="4EE01FF3" w:rsidR="00DE058E" w:rsidRPr="00DE058E" w:rsidRDefault="00DE058E" w:rsidP="00DE058E">
      <w:pPr>
        <w:spacing w:after="0" w:line="360" w:lineRule="auto"/>
        <w:jc w:val="both"/>
        <w:rPr>
          <w:rFonts w:ascii="Times New Roman" w:hAnsi="Times New Roman" w:cs="Times New Roman"/>
          <w:bCs/>
        </w:rPr>
      </w:pPr>
      <w:r w:rsidRPr="00DE058E">
        <w:rPr>
          <w:rFonts w:ascii="Times New Roman" w:hAnsi="Times New Roman" w:cs="Times New Roman"/>
          <w:bCs/>
        </w:rPr>
        <w:lastRenderedPageBreak/>
        <w:t>Según los datos proporcionados por el aplicativo, se identificaron regularmente más de 6.147 puntos de control establecidos y desplegados a nivel nacional. Estos controles se centraron en la prevención de embriaguez, la verificación de documentos (SOAT, RTM, Licencia), el control de la velocidad y la presencia disuasoria y persuasiva. Los puntos de control tienen un enfoque de permanencia en los municipios y en las zonas de mayor siniestralidad vial.</w:t>
      </w:r>
    </w:p>
    <w:p w14:paraId="38C662CA" w14:textId="77777777" w:rsidR="00810AC7" w:rsidRPr="001D5133" w:rsidRDefault="00810AC7" w:rsidP="00BB0D2C">
      <w:pPr>
        <w:spacing w:after="0" w:line="360" w:lineRule="auto"/>
        <w:rPr>
          <w:rFonts w:ascii="Times New Roman" w:hAnsi="Times New Roman" w:cs="Times New Roman"/>
        </w:rPr>
      </w:pPr>
      <w:r>
        <w:rPr>
          <w:noProof/>
          <w:lang w:eastAsia="es-CO"/>
        </w:rPr>
        <w:drawing>
          <wp:inline distT="0" distB="0" distL="0" distR="0" wp14:anchorId="238168CB" wp14:editId="4D1A17B2">
            <wp:extent cx="5619750" cy="1552575"/>
            <wp:effectExtent l="0" t="0" r="0" b="0"/>
            <wp:docPr id="2077754249" name="Gráfico 1">
              <a:extLst xmlns:a="http://schemas.openxmlformats.org/drawingml/2006/main">
                <a:ext uri="{FF2B5EF4-FFF2-40B4-BE49-F238E27FC236}">
                  <a16:creationId xmlns:a16="http://schemas.microsoft.com/office/drawing/2014/main" id="{AF3E5794-20CE-45A7-84A4-B3EFC5793B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7AEE0EB" w14:textId="77777777" w:rsidR="00BB0D2C" w:rsidRDefault="00BB0D2C" w:rsidP="00BB0D2C">
      <w:pPr>
        <w:spacing w:line="360" w:lineRule="auto"/>
        <w:jc w:val="both"/>
        <w:rPr>
          <w:rFonts w:ascii="Times New Roman" w:hAnsi="Times New Roman" w:cs="Times New Roman"/>
        </w:rPr>
      </w:pPr>
      <w:r>
        <w:rPr>
          <w:rFonts w:ascii="Times New Roman" w:hAnsi="Times New Roman" w:cs="Times New Roman"/>
        </w:rPr>
        <w:t>Fuente: elaboración propia</w:t>
      </w:r>
    </w:p>
    <w:p w14:paraId="2DC8AC56" w14:textId="20EFBE1C" w:rsidR="00810AC7" w:rsidRPr="001D5133" w:rsidRDefault="00810AC7" w:rsidP="00810AC7">
      <w:pPr>
        <w:pStyle w:val="Prrafodelista"/>
        <w:numPr>
          <w:ilvl w:val="0"/>
          <w:numId w:val="16"/>
        </w:numPr>
        <w:spacing w:line="360" w:lineRule="auto"/>
        <w:rPr>
          <w:rFonts w:ascii="Times New Roman" w:hAnsi="Times New Roman" w:cs="Times New Roman"/>
          <w:b/>
          <w:bCs/>
        </w:rPr>
      </w:pPr>
      <w:r w:rsidRPr="001D5133">
        <w:rPr>
          <w:rFonts w:ascii="Times New Roman" w:hAnsi="Times New Roman" w:cs="Times New Roman"/>
          <w:b/>
          <w:bCs/>
        </w:rPr>
        <w:t>N</w:t>
      </w:r>
      <w:r w:rsidR="00DE058E">
        <w:rPr>
          <w:rFonts w:ascii="Times New Roman" w:hAnsi="Times New Roman" w:cs="Times New Roman"/>
          <w:b/>
          <w:bCs/>
        </w:rPr>
        <w:t>ú</w:t>
      </w:r>
      <w:r w:rsidRPr="001D5133">
        <w:rPr>
          <w:rFonts w:ascii="Times New Roman" w:hAnsi="Times New Roman" w:cs="Times New Roman"/>
          <w:b/>
          <w:bCs/>
        </w:rPr>
        <w:t xml:space="preserve">mero de comparendos impuestos – </w:t>
      </w:r>
      <w:r w:rsidR="00DE058E" w:rsidRPr="001D5133">
        <w:rPr>
          <w:rFonts w:ascii="Times New Roman" w:hAnsi="Times New Roman" w:cs="Times New Roman"/>
          <w:b/>
          <w:bCs/>
        </w:rPr>
        <w:t>PLAN</w:t>
      </w:r>
      <w:r w:rsidRPr="001D5133">
        <w:rPr>
          <w:rFonts w:ascii="Times New Roman" w:hAnsi="Times New Roman" w:cs="Times New Roman"/>
          <w:b/>
          <w:bCs/>
        </w:rPr>
        <w:t xml:space="preserve"> 70D</w:t>
      </w:r>
    </w:p>
    <w:p w14:paraId="068827A0" w14:textId="04E1C961" w:rsidR="00810AC7" w:rsidRPr="001D5133" w:rsidRDefault="00704838" w:rsidP="00704838">
      <w:pPr>
        <w:spacing w:line="360" w:lineRule="auto"/>
        <w:jc w:val="both"/>
        <w:rPr>
          <w:rFonts w:ascii="Times New Roman" w:hAnsi="Times New Roman" w:cs="Times New Roman"/>
        </w:rPr>
      </w:pPr>
      <w:r w:rsidRPr="00704838">
        <w:rPr>
          <w:rFonts w:ascii="Times New Roman" w:hAnsi="Times New Roman" w:cs="Times New Roman"/>
        </w:rPr>
        <w:t>Como resultado de los puntos de control sancionadores, las autoridades de tránsito y transporte impusieron aproximadamente 110.750 comparendos, la mayoría relacionados con la revisión de documentos y el cumplimiento de las normas. Se hace un llamado a las autoridades para que continúen con los esfuerzos conjuntos y refuercen la presencia institucional en las vías del país.</w:t>
      </w:r>
    </w:p>
    <w:p w14:paraId="3064EA6F" w14:textId="77777777" w:rsidR="00810AC7" w:rsidRPr="001D5133" w:rsidRDefault="00810AC7" w:rsidP="00907BD1">
      <w:pPr>
        <w:spacing w:after="0" w:line="360" w:lineRule="auto"/>
        <w:rPr>
          <w:rFonts w:ascii="Times New Roman" w:hAnsi="Times New Roman" w:cs="Times New Roman"/>
        </w:rPr>
      </w:pPr>
      <w:r>
        <w:rPr>
          <w:noProof/>
          <w:lang w:eastAsia="es-CO"/>
        </w:rPr>
        <w:drawing>
          <wp:inline distT="0" distB="0" distL="0" distR="0" wp14:anchorId="65098CDD" wp14:editId="5309BE2B">
            <wp:extent cx="5681662" cy="1576388"/>
            <wp:effectExtent l="0" t="0" r="0" b="0"/>
            <wp:docPr id="26719827" name="Gráfico 1">
              <a:extLst xmlns:a="http://schemas.openxmlformats.org/drawingml/2006/main">
                <a:ext uri="{FF2B5EF4-FFF2-40B4-BE49-F238E27FC236}">
                  <a16:creationId xmlns:a16="http://schemas.microsoft.com/office/drawing/2014/main" id="{A63AAE41-855A-4BD3-B8C9-07AF913FCC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69D878" w14:textId="77777777" w:rsidR="00907BD1" w:rsidRDefault="00907BD1" w:rsidP="00907BD1">
      <w:pPr>
        <w:spacing w:line="360" w:lineRule="auto"/>
        <w:jc w:val="both"/>
        <w:rPr>
          <w:rFonts w:ascii="Times New Roman" w:hAnsi="Times New Roman" w:cs="Times New Roman"/>
        </w:rPr>
      </w:pPr>
      <w:r>
        <w:rPr>
          <w:rFonts w:ascii="Times New Roman" w:hAnsi="Times New Roman" w:cs="Times New Roman"/>
        </w:rPr>
        <w:t>Fuente: elaboración propia</w:t>
      </w:r>
    </w:p>
    <w:p w14:paraId="496667BB" w14:textId="7B849E8E" w:rsidR="00F503D8" w:rsidRPr="00F503D8" w:rsidRDefault="00810AC7" w:rsidP="00F503D8">
      <w:pPr>
        <w:pStyle w:val="Prrafodelista"/>
        <w:numPr>
          <w:ilvl w:val="0"/>
          <w:numId w:val="16"/>
        </w:numPr>
        <w:spacing w:line="360" w:lineRule="auto"/>
        <w:rPr>
          <w:rFonts w:ascii="Times New Roman" w:hAnsi="Times New Roman" w:cs="Times New Roman"/>
          <w:b/>
          <w:bCs/>
        </w:rPr>
      </w:pPr>
      <w:r w:rsidRPr="00F503D8">
        <w:rPr>
          <w:rFonts w:ascii="Times New Roman" w:hAnsi="Times New Roman" w:cs="Times New Roman"/>
          <w:b/>
          <w:bCs/>
        </w:rPr>
        <w:t>Cifras de lesionados y fallecidos</w:t>
      </w:r>
    </w:p>
    <w:p w14:paraId="2E8D0054" w14:textId="77777777" w:rsidR="00FA099F" w:rsidRDefault="00FA099F" w:rsidP="00FA099F">
      <w:pPr>
        <w:spacing w:line="360" w:lineRule="auto"/>
        <w:jc w:val="both"/>
        <w:rPr>
          <w:rFonts w:ascii="Times New Roman" w:hAnsi="Times New Roman" w:cs="Times New Roman"/>
        </w:rPr>
      </w:pPr>
      <w:r w:rsidRPr="00FA099F">
        <w:rPr>
          <w:rFonts w:ascii="Times New Roman" w:hAnsi="Times New Roman" w:cs="Times New Roman"/>
        </w:rPr>
        <w:t xml:space="preserve">Con base en las cifras parciales de siniestralidad para noviembre y diciembre de 2024, proporcionadas por el ONSV, se puede afirmar que el PLAN 70D contribuyó a una reducción del 6.9% en la siniestralidad total de 2024, en comparación con los mismos meses de 2023. Específicamente, para </w:t>
      </w:r>
      <w:r w:rsidRPr="00FA099F">
        <w:rPr>
          <w:rFonts w:ascii="Times New Roman" w:hAnsi="Times New Roman" w:cs="Times New Roman"/>
        </w:rPr>
        <w:lastRenderedPageBreak/>
        <w:t>noviembre se observó una disminución del 6.6%, mientras que para diciembre la reducción fue del 7.3%.</w:t>
      </w:r>
    </w:p>
    <w:p w14:paraId="4ABD04DE" w14:textId="0B9F00D7" w:rsidR="00FA099F" w:rsidRPr="00FA099F" w:rsidRDefault="00FA099F" w:rsidP="00FA099F">
      <w:pPr>
        <w:spacing w:line="360" w:lineRule="auto"/>
        <w:jc w:val="both"/>
        <w:rPr>
          <w:rFonts w:ascii="Times New Roman" w:hAnsi="Times New Roman" w:cs="Times New Roman"/>
        </w:rPr>
      </w:pPr>
      <w:r w:rsidRPr="00FA099F">
        <w:rPr>
          <w:rFonts w:ascii="Times New Roman" w:hAnsi="Times New Roman" w:cs="Times New Roman"/>
        </w:rPr>
        <w:t>Aunque la siniestralidad mostró una disminución, al evaluar las cifras de lesionados y fallecidos, la tendencia cambió, como se detalla a continuación.</w:t>
      </w:r>
    </w:p>
    <w:tbl>
      <w:tblPr>
        <w:tblW w:w="6588" w:type="dxa"/>
        <w:jc w:val="center"/>
        <w:tblCellMar>
          <w:left w:w="70" w:type="dxa"/>
          <w:right w:w="70" w:type="dxa"/>
        </w:tblCellMar>
        <w:tblLook w:val="04A0" w:firstRow="1" w:lastRow="0" w:firstColumn="1" w:lastColumn="0" w:noHBand="0" w:noVBand="1"/>
      </w:tblPr>
      <w:tblGrid>
        <w:gridCol w:w="1204"/>
        <w:gridCol w:w="1657"/>
        <w:gridCol w:w="1200"/>
        <w:gridCol w:w="1200"/>
        <w:gridCol w:w="1327"/>
      </w:tblGrid>
      <w:tr w:rsidR="0073577B" w:rsidRPr="0073577B" w14:paraId="71EFCBEA" w14:textId="77777777" w:rsidTr="00FA099F">
        <w:trPr>
          <w:trHeight w:val="285"/>
          <w:jc w:val="center"/>
        </w:trPr>
        <w:tc>
          <w:tcPr>
            <w:tcW w:w="1204" w:type="dxa"/>
            <w:tcBorders>
              <w:top w:val="single" w:sz="4" w:space="0" w:color="156082"/>
              <w:left w:val="single" w:sz="4" w:space="0" w:color="156082"/>
              <w:bottom w:val="nil"/>
              <w:right w:val="nil"/>
            </w:tcBorders>
            <w:shd w:val="clear" w:color="156082" w:fill="156082"/>
            <w:noWrap/>
            <w:vAlign w:val="center"/>
            <w:hideMark/>
          </w:tcPr>
          <w:p w14:paraId="52AA18D3" w14:textId="77777777" w:rsidR="0073577B" w:rsidRPr="00FA099F" w:rsidRDefault="0073577B" w:rsidP="0073577B">
            <w:pPr>
              <w:spacing w:after="0" w:line="240" w:lineRule="auto"/>
              <w:jc w:val="center"/>
              <w:rPr>
                <w:rFonts w:ascii="Times New Roman" w:eastAsia="Times New Roman" w:hAnsi="Times New Roman" w:cs="Times New Roman"/>
                <w:b/>
                <w:bCs/>
                <w:color w:val="FFFFFF"/>
                <w:kern w:val="0"/>
                <w:lang w:eastAsia="es-CO"/>
                <w14:ligatures w14:val="none"/>
              </w:rPr>
            </w:pPr>
            <w:r w:rsidRPr="00FA099F">
              <w:rPr>
                <w:rFonts w:ascii="Times New Roman" w:eastAsia="Times New Roman" w:hAnsi="Times New Roman" w:cs="Times New Roman"/>
                <w:b/>
                <w:bCs/>
                <w:color w:val="FFFFFF"/>
                <w:kern w:val="0"/>
                <w:lang w:eastAsia="es-CO"/>
                <w14:ligatures w14:val="none"/>
              </w:rPr>
              <w:t>Mes</w:t>
            </w:r>
          </w:p>
        </w:tc>
        <w:tc>
          <w:tcPr>
            <w:tcW w:w="1657" w:type="dxa"/>
            <w:tcBorders>
              <w:top w:val="single" w:sz="4" w:space="0" w:color="156082"/>
              <w:left w:val="nil"/>
              <w:bottom w:val="nil"/>
              <w:right w:val="nil"/>
            </w:tcBorders>
            <w:shd w:val="clear" w:color="156082" w:fill="156082"/>
            <w:noWrap/>
            <w:vAlign w:val="center"/>
            <w:hideMark/>
          </w:tcPr>
          <w:p w14:paraId="6287276C" w14:textId="66B90104" w:rsidR="0073577B" w:rsidRPr="00FA099F" w:rsidRDefault="0073577B" w:rsidP="0073577B">
            <w:pPr>
              <w:spacing w:after="0" w:line="240" w:lineRule="auto"/>
              <w:jc w:val="center"/>
              <w:rPr>
                <w:rFonts w:ascii="Times New Roman" w:eastAsia="Times New Roman" w:hAnsi="Times New Roman" w:cs="Times New Roman"/>
                <w:b/>
                <w:bCs/>
                <w:color w:val="FFFFFF"/>
                <w:kern w:val="0"/>
                <w:lang w:eastAsia="es-CO"/>
                <w14:ligatures w14:val="none"/>
              </w:rPr>
            </w:pPr>
            <w:r w:rsidRPr="00FA099F">
              <w:rPr>
                <w:rFonts w:ascii="Times New Roman" w:eastAsia="Times New Roman" w:hAnsi="Times New Roman" w:cs="Times New Roman"/>
                <w:b/>
                <w:bCs/>
                <w:color w:val="FFFFFF"/>
                <w:kern w:val="0"/>
                <w:lang w:eastAsia="es-CO"/>
                <w14:ligatures w14:val="none"/>
              </w:rPr>
              <w:t>Estado</w:t>
            </w:r>
            <w:r w:rsidR="00FA099F" w:rsidRPr="00FA099F">
              <w:rPr>
                <w:rFonts w:ascii="Times New Roman" w:eastAsia="Times New Roman" w:hAnsi="Times New Roman" w:cs="Times New Roman"/>
                <w:b/>
                <w:bCs/>
                <w:color w:val="FFFFFF"/>
                <w:kern w:val="0"/>
                <w:lang w:eastAsia="es-CO"/>
                <w14:ligatures w14:val="none"/>
              </w:rPr>
              <w:t xml:space="preserve"> Ví</w:t>
            </w:r>
            <w:r w:rsidRPr="00FA099F">
              <w:rPr>
                <w:rFonts w:ascii="Times New Roman" w:eastAsia="Times New Roman" w:hAnsi="Times New Roman" w:cs="Times New Roman"/>
                <w:b/>
                <w:bCs/>
                <w:color w:val="FFFFFF"/>
                <w:kern w:val="0"/>
                <w:lang w:eastAsia="es-CO"/>
                <w14:ligatures w14:val="none"/>
              </w:rPr>
              <w:t>ctima</w:t>
            </w:r>
          </w:p>
        </w:tc>
        <w:tc>
          <w:tcPr>
            <w:tcW w:w="1200" w:type="dxa"/>
            <w:tcBorders>
              <w:top w:val="single" w:sz="4" w:space="0" w:color="156082"/>
              <w:left w:val="nil"/>
              <w:bottom w:val="nil"/>
              <w:right w:val="nil"/>
            </w:tcBorders>
            <w:shd w:val="clear" w:color="156082" w:fill="156082"/>
            <w:noWrap/>
            <w:vAlign w:val="center"/>
            <w:hideMark/>
          </w:tcPr>
          <w:p w14:paraId="76005317" w14:textId="77777777" w:rsidR="0073577B" w:rsidRPr="00FA099F" w:rsidRDefault="0073577B" w:rsidP="0073577B">
            <w:pPr>
              <w:spacing w:after="0" w:line="240" w:lineRule="auto"/>
              <w:jc w:val="center"/>
              <w:rPr>
                <w:rFonts w:ascii="Times New Roman" w:eastAsia="Times New Roman" w:hAnsi="Times New Roman" w:cs="Times New Roman"/>
                <w:b/>
                <w:bCs/>
                <w:color w:val="FFFFFF"/>
                <w:kern w:val="0"/>
                <w:lang w:eastAsia="es-CO"/>
                <w14:ligatures w14:val="none"/>
              </w:rPr>
            </w:pPr>
            <w:r w:rsidRPr="00FA099F">
              <w:rPr>
                <w:rFonts w:ascii="Times New Roman" w:eastAsia="Times New Roman" w:hAnsi="Times New Roman" w:cs="Times New Roman"/>
                <w:b/>
                <w:bCs/>
                <w:color w:val="FFFFFF"/>
                <w:kern w:val="0"/>
                <w:lang w:eastAsia="es-CO"/>
                <w14:ligatures w14:val="none"/>
              </w:rPr>
              <w:t>2023</w:t>
            </w:r>
          </w:p>
        </w:tc>
        <w:tc>
          <w:tcPr>
            <w:tcW w:w="1200" w:type="dxa"/>
            <w:tcBorders>
              <w:top w:val="single" w:sz="4" w:space="0" w:color="156082"/>
              <w:left w:val="nil"/>
              <w:bottom w:val="nil"/>
              <w:right w:val="nil"/>
            </w:tcBorders>
            <w:shd w:val="clear" w:color="156082" w:fill="156082"/>
            <w:noWrap/>
            <w:vAlign w:val="center"/>
            <w:hideMark/>
          </w:tcPr>
          <w:p w14:paraId="0580990A" w14:textId="77777777" w:rsidR="0073577B" w:rsidRPr="00FA099F" w:rsidRDefault="0073577B" w:rsidP="0073577B">
            <w:pPr>
              <w:spacing w:after="0" w:line="240" w:lineRule="auto"/>
              <w:jc w:val="center"/>
              <w:rPr>
                <w:rFonts w:ascii="Times New Roman" w:eastAsia="Times New Roman" w:hAnsi="Times New Roman" w:cs="Times New Roman"/>
                <w:b/>
                <w:bCs/>
                <w:color w:val="FFFFFF"/>
                <w:kern w:val="0"/>
                <w:lang w:eastAsia="es-CO"/>
                <w14:ligatures w14:val="none"/>
              </w:rPr>
            </w:pPr>
            <w:r w:rsidRPr="00FA099F">
              <w:rPr>
                <w:rFonts w:ascii="Times New Roman" w:eastAsia="Times New Roman" w:hAnsi="Times New Roman" w:cs="Times New Roman"/>
                <w:b/>
                <w:bCs/>
                <w:color w:val="FFFFFF"/>
                <w:kern w:val="0"/>
                <w:lang w:eastAsia="es-CO"/>
                <w14:ligatures w14:val="none"/>
              </w:rPr>
              <w:t>2024</w:t>
            </w:r>
          </w:p>
        </w:tc>
        <w:tc>
          <w:tcPr>
            <w:tcW w:w="1327" w:type="dxa"/>
            <w:tcBorders>
              <w:top w:val="single" w:sz="4" w:space="0" w:color="156082"/>
              <w:left w:val="nil"/>
              <w:bottom w:val="nil"/>
              <w:right w:val="single" w:sz="4" w:space="0" w:color="156082"/>
            </w:tcBorders>
            <w:shd w:val="clear" w:color="156082" w:fill="156082"/>
            <w:noWrap/>
            <w:vAlign w:val="center"/>
            <w:hideMark/>
          </w:tcPr>
          <w:p w14:paraId="317BB587" w14:textId="77777777" w:rsidR="0073577B" w:rsidRPr="00FA099F" w:rsidRDefault="0073577B" w:rsidP="0073577B">
            <w:pPr>
              <w:spacing w:after="0" w:line="240" w:lineRule="auto"/>
              <w:jc w:val="center"/>
              <w:rPr>
                <w:rFonts w:ascii="Times New Roman" w:eastAsia="Times New Roman" w:hAnsi="Times New Roman" w:cs="Times New Roman"/>
                <w:b/>
                <w:bCs/>
                <w:color w:val="FFFFFF"/>
                <w:kern w:val="0"/>
                <w:lang w:eastAsia="es-CO"/>
                <w14:ligatures w14:val="none"/>
              </w:rPr>
            </w:pPr>
            <w:r w:rsidRPr="00FA099F">
              <w:rPr>
                <w:rFonts w:ascii="Times New Roman" w:eastAsia="Times New Roman" w:hAnsi="Times New Roman" w:cs="Times New Roman"/>
                <w:b/>
                <w:bCs/>
                <w:color w:val="FFFFFF"/>
                <w:kern w:val="0"/>
                <w:lang w:eastAsia="es-CO"/>
                <w14:ligatures w14:val="none"/>
              </w:rPr>
              <w:t>%Variación</w:t>
            </w:r>
          </w:p>
        </w:tc>
      </w:tr>
      <w:tr w:rsidR="0073577B" w:rsidRPr="0073577B" w14:paraId="75498E4A" w14:textId="77777777" w:rsidTr="00FA099F">
        <w:trPr>
          <w:trHeight w:val="285"/>
          <w:jc w:val="center"/>
        </w:trPr>
        <w:tc>
          <w:tcPr>
            <w:tcW w:w="1204" w:type="dxa"/>
            <w:tcBorders>
              <w:top w:val="single" w:sz="4" w:space="0" w:color="156082"/>
              <w:left w:val="single" w:sz="4" w:space="0" w:color="156082"/>
              <w:bottom w:val="nil"/>
              <w:right w:val="nil"/>
            </w:tcBorders>
            <w:shd w:val="clear" w:color="auto" w:fill="auto"/>
            <w:noWrap/>
            <w:vAlign w:val="center"/>
            <w:hideMark/>
          </w:tcPr>
          <w:p w14:paraId="176EC1FA"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Noviembre</w:t>
            </w:r>
          </w:p>
        </w:tc>
        <w:tc>
          <w:tcPr>
            <w:tcW w:w="1657" w:type="dxa"/>
            <w:tcBorders>
              <w:top w:val="single" w:sz="4" w:space="0" w:color="156082"/>
              <w:left w:val="nil"/>
              <w:bottom w:val="nil"/>
              <w:right w:val="nil"/>
            </w:tcBorders>
            <w:shd w:val="clear" w:color="auto" w:fill="auto"/>
            <w:noWrap/>
            <w:vAlign w:val="center"/>
            <w:hideMark/>
          </w:tcPr>
          <w:p w14:paraId="0F1451F0"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Lesionado</w:t>
            </w:r>
          </w:p>
        </w:tc>
        <w:tc>
          <w:tcPr>
            <w:tcW w:w="1200" w:type="dxa"/>
            <w:tcBorders>
              <w:top w:val="single" w:sz="4" w:space="0" w:color="156082"/>
              <w:left w:val="nil"/>
              <w:bottom w:val="nil"/>
              <w:right w:val="nil"/>
            </w:tcBorders>
            <w:shd w:val="clear" w:color="auto" w:fill="auto"/>
            <w:noWrap/>
            <w:vAlign w:val="center"/>
            <w:hideMark/>
          </w:tcPr>
          <w:p w14:paraId="19982DEB"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1.709</w:t>
            </w:r>
          </w:p>
        </w:tc>
        <w:tc>
          <w:tcPr>
            <w:tcW w:w="1200" w:type="dxa"/>
            <w:tcBorders>
              <w:top w:val="single" w:sz="4" w:space="0" w:color="156082"/>
              <w:left w:val="nil"/>
              <w:bottom w:val="nil"/>
              <w:right w:val="nil"/>
            </w:tcBorders>
            <w:shd w:val="clear" w:color="auto" w:fill="auto"/>
            <w:noWrap/>
            <w:vAlign w:val="center"/>
            <w:hideMark/>
          </w:tcPr>
          <w:p w14:paraId="7E266004"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1.561</w:t>
            </w:r>
          </w:p>
        </w:tc>
        <w:tc>
          <w:tcPr>
            <w:tcW w:w="1327" w:type="dxa"/>
            <w:tcBorders>
              <w:top w:val="single" w:sz="4" w:space="0" w:color="156082"/>
              <w:left w:val="nil"/>
              <w:bottom w:val="nil"/>
              <w:right w:val="single" w:sz="4" w:space="0" w:color="156082"/>
            </w:tcBorders>
            <w:shd w:val="clear" w:color="auto" w:fill="auto"/>
            <w:noWrap/>
            <w:vAlign w:val="center"/>
            <w:hideMark/>
          </w:tcPr>
          <w:p w14:paraId="213E7CE1"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-9,5%</w:t>
            </w:r>
          </w:p>
        </w:tc>
      </w:tr>
      <w:tr w:rsidR="0073577B" w:rsidRPr="0073577B" w14:paraId="36A83AEE" w14:textId="77777777" w:rsidTr="00FA099F">
        <w:trPr>
          <w:trHeight w:val="285"/>
          <w:jc w:val="center"/>
        </w:trPr>
        <w:tc>
          <w:tcPr>
            <w:tcW w:w="1204" w:type="dxa"/>
            <w:tcBorders>
              <w:top w:val="single" w:sz="4" w:space="0" w:color="156082"/>
              <w:left w:val="single" w:sz="4" w:space="0" w:color="156082"/>
              <w:bottom w:val="nil"/>
              <w:right w:val="nil"/>
            </w:tcBorders>
            <w:shd w:val="clear" w:color="auto" w:fill="auto"/>
            <w:noWrap/>
            <w:vAlign w:val="center"/>
            <w:hideMark/>
          </w:tcPr>
          <w:p w14:paraId="21E4A2D2"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Noviembre</w:t>
            </w:r>
          </w:p>
        </w:tc>
        <w:tc>
          <w:tcPr>
            <w:tcW w:w="1657" w:type="dxa"/>
            <w:tcBorders>
              <w:top w:val="single" w:sz="4" w:space="0" w:color="156082"/>
              <w:left w:val="nil"/>
              <w:bottom w:val="nil"/>
              <w:right w:val="nil"/>
            </w:tcBorders>
            <w:shd w:val="clear" w:color="auto" w:fill="auto"/>
            <w:noWrap/>
            <w:vAlign w:val="center"/>
            <w:hideMark/>
          </w:tcPr>
          <w:p w14:paraId="5B472888"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Muerto</w:t>
            </w:r>
          </w:p>
        </w:tc>
        <w:tc>
          <w:tcPr>
            <w:tcW w:w="1200" w:type="dxa"/>
            <w:tcBorders>
              <w:top w:val="single" w:sz="4" w:space="0" w:color="156082"/>
              <w:left w:val="nil"/>
              <w:bottom w:val="nil"/>
              <w:right w:val="nil"/>
            </w:tcBorders>
            <w:shd w:val="clear" w:color="auto" w:fill="auto"/>
            <w:noWrap/>
            <w:vAlign w:val="center"/>
            <w:hideMark/>
          </w:tcPr>
          <w:p w14:paraId="53EAC5DE"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670</w:t>
            </w:r>
          </w:p>
        </w:tc>
        <w:tc>
          <w:tcPr>
            <w:tcW w:w="1200" w:type="dxa"/>
            <w:tcBorders>
              <w:top w:val="single" w:sz="4" w:space="0" w:color="156082"/>
              <w:left w:val="nil"/>
              <w:bottom w:val="nil"/>
              <w:right w:val="nil"/>
            </w:tcBorders>
            <w:shd w:val="clear" w:color="auto" w:fill="auto"/>
            <w:noWrap/>
            <w:vAlign w:val="center"/>
            <w:hideMark/>
          </w:tcPr>
          <w:p w14:paraId="70B5B508"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670</w:t>
            </w:r>
          </w:p>
        </w:tc>
        <w:tc>
          <w:tcPr>
            <w:tcW w:w="1327" w:type="dxa"/>
            <w:tcBorders>
              <w:top w:val="single" w:sz="4" w:space="0" w:color="156082"/>
              <w:left w:val="nil"/>
              <w:bottom w:val="nil"/>
              <w:right w:val="single" w:sz="4" w:space="0" w:color="156082"/>
            </w:tcBorders>
            <w:shd w:val="clear" w:color="auto" w:fill="auto"/>
            <w:noWrap/>
            <w:vAlign w:val="center"/>
            <w:hideMark/>
          </w:tcPr>
          <w:p w14:paraId="05EED684"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0,0%</w:t>
            </w:r>
          </w:p>
        </w:tc>
      </w:tr>
      <w:tr w:rsidR="0073577B" w:rsidRPr="0073577B" w14:paraId="4FFB5747" w14:textId="77777777" w:rsidTr="00FA099F">
        <w:trPr>
          <w:trHeight w:val="285"/>
          <w:jc w:val="center"/>
        </w:trPr>
        <w:tc>
          <w:tcPr>
            <w:tcW w:w="1204" w:type="dxa"/>
            <w:tcBorders>
              <w:top w:val="single" w:sz="4" w:space="0" w:color="156082"/>
              <w:left w:val="single" w:sz="4" w:space="0" w:color="156082"/>
              <w:bottom w:val="nil"/>
              <w:right w:val="nil"/>
            </w:tcBorders>
            <w:shd w:val="clear" w:color="auto" w:fill="auto"/>
            <w:noWrap/>
            <w:vAlign w:val="center"/>
            <w:hideMark/>
          </w:tcPr>
          <w:p w14:paraId="6EE9800B"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Diciembre</w:t>
            </w:r>
          </w:p>
        </w:tc>
        <w:tc>
          <w:tcPr>
            <w:tcW w:w="1657" w:type="dxa"/>
            <w:tcBorders>
              <w:top w:val="single" w:sz="4" w:space="0" w:color="156082"/>
              <w:left w:val="nil"/>
              <w:bottom w:val="nil"/>
              <w:right w:val="nil"/>
            </w:tcBorders>
            <w:shd w:val="clear" w:color="auto" w:fill="auto"/>
            <w:noWrap/>
            <w:vAlign w:val="center"/>
            <w:hideMark/>
          </w:tcPr>
          <w:p w14:paraId="0EE2200F"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Lesionado</w:t>
            </w:r>
          </w:p>
        </w:tc>
        <w:tc>
          <w:tcPr>
            <w:tcW w:w="1200" w:type="dxa"/>
            <w:tcBorders>
              <w:top w:val="single" w:sz="4" w:space="0" w:color="156082"/>
              <w:left w:val="nil"/>
              <w:bottom w:val="nil"/>
              <w:right w:val="nil"/>
            </w:tcBorders>
            <w:shd w:val="clear" w:color="auto" w:fill="auto"/>
            <w:noWrap/>
            <w:vAlign w:val="center"/>
            <w:hideMark/>
          </w:tcPr>
          <w:p w14:paraId="13F48EE2"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1.079</w:t>
            </w:r>
          </w:p>
        </w:tc>
        <w:tc>
          <w:tcPr>
            <w:tcW w:w="1200" w:type="dxa"/>
            <w:tcBorders>
              <w:top w:val="single" w:sz="4" w:space="0" w:color="156082"/>
              <w:left w:val="nil"/>
              <w:bottom w:val="nil"/>
              <w:right w:val="nil"/>
            </w:tcBorders>
            <w:shd w:val="clear" w:color="auto" w:fill="auto"/>
            <w:noWrap/>
            <w:vAlign w:val="center"/>
            <w:hideMark/>
          </w:tcPr>
          <w:p w14:paraId="281A26C1"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947</w:t>
            </w:r>
          </w:p>
        </w:tc>
        <w:tc>
          <w:tcPr>
            <w:tcW w:w="1327" w:type="dxa"/>
            <w:tcBorders>
              <w:top w:val="single" w:sz="4" w:space="0" w:color="156082"/>
              <w:left w:val="nil"/>
              <w:bottom w:val="nil"/>
              <w:right w:val="single" w:sz="4" w:space="0" w:color="156082"/>
            </w:tcBorders>
            <w:shd w:val="clear" w:color="auto" w:fill="auto"/>
            <w:noWrap/>
            <w:vAlign w:val="center"/>
            <w:hideMark/>
          </w:tcPr>
          <w:p w14:paraId="0E4D8BDD"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-13,9%</w:t>
            </w:r>
          </w:p>
        </w:tc>
      </w:tr>
      <w:tr w:rsidR="0073577B" w:rsidRPr="0073577B" w14:paraId="5A58A8BA" w14:textId="77777777" w:rsidTr="00FA099F">
        <w:trPr>
          <w:trHeight w:val="285"/>
          <w:jc w:val="center"/>
        </w:trPr>
        <w:tc>
          <w:tcPr>
            <w:tcW w:w="1204" w:type="dxa"/>
            <w:tcBorders>
              <w:top w:val="single" w:sz="4" w:space="0" w:color="156082"/>
              <w:left w:val="single" w:sz="4" w:space="0" w:color="156082"/>
              <w:bottom w:val="single" w:sz="4" w:space="0" w:color="156082"/>
              <w:right w:val="nil"/>
            </w:tcBorders>
            <w:shd w:val="clear" w:color="auto" w:fill="auto"/>
            <w:noWrap/>
            <w:vAlign w:val="center"/>
            <w:hideMark/>
          </w:tcPr>
          <w:p w14:paraId="78502F42"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Diciembre</w:t>
            </w:r>
          </w:p>
        </w:tc>
        <w:tc>
          <w:tcPr>
            <w:tcW w:w="1657" w:type="dxa"/>
            <w:tcBorders>
              <w:top w:val="single" w:sz="4" w:space="0" w:color="156082"/>
              <w:left w:val="nil"/>
              <w:bottom w:val="single" w:sz="4" w:space="0" w:color="156082"/>
              <w:right w:val="nil"/>
            </w:tcBorders>
            <w:shd w:val="clear" w:color="auto" w:fill="auto"/>
            <w:noWrap/>
            <w:vAlign w:val="center"/>
            <w:hideMark/>
          </w:tcPr>
          <w:p w14:paraId="3731E978"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Muerto</w:t>
            </w:r>
          </w:p>
        </w:tc>
        <w:tc>
          <w:tcPr>
            <w:tcW w:w="1200" w:type="dxa"/>
            <w:tcBorders>
              <w:top w:val="single" w:sz="4" w:space="0" w:color="156082"/>
              <w:left w:val="nil"/>
              <w:bottom w:val="single" w:sz="4" w:space="0" w:color="156082"/>
              <w:right w:val="nil"/>
            </w:tcBorders>
            <w:shd w:val="clear" w:color="auto" w:fill="auto"/>
            <w:noWrap/>
            <w:vAlign w:val="center"/>
            <w:hideMark/>
          </w:tcPr>
          <w:p w14:paraId="10D6690D"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766</w:t>
            </w:r>
          </w:p>
        </w:tc>
        <w:tc>
          <w:tcPr>
            <w:tcW w:w="1200" w:type="dxa"/>
            <w:tcBorders>
              <w:top w:val="single" w:sz="4" w:space="0" w:color="156082"/>
              <w:left w:val="nil"/>
              <w:bottom w:val="single" w:sz="4" w:space="0" w:color="156082"/>
              <w:right w:val="nil"/>
            </w:tcBorders>
            <w:shd w:val="clear" w:color="auto" w:fill="auto"/>
            <w:noWrap/>
            <w:vAlign w:val="center"/>
            <w:hideMark/>
          </w:tcPr>
          <w:p w14:paraId="0C88E401"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773</w:t>
            </w:r>
          </w:p>
        </w:tc>
        <w:tc>
          <w:tcPr>
            <w:tcW w:w="1327" w:type="dxa"/>
            <w:tcBorders>
              <w:top w:val="single" w:sz="4" w:space="0" w:color="156082"/>
              <w:left w:val="nil"/>
              <w:bottom w:val="single" w:sz="4" w:space="0" w:color="156082"/>
              <w:right w:val="single" w:sz="4" w:space="0" w:color="156082"/>
            </w:tcBorders>
            <w:shd w:val="clear" w:color="auto" w:fill="auto"/>
            <w:noWrap/>
            <w:vAlign w:val="center"/>
            <w:hideMark/>
          </w:tcPr>
          <w:p w14:paraId="7A9FAA64" w14:textId="77777777" w:rsidR="0073577B" w:rsidRPr="00FA099F" w:rsidRDefault="0073577B" w:rsidP="0073577B">
            <w:pPr>
              <w:spacing w:after="0" w:line="240" w:lineRule="auto"/>
              <w:jc w:val="center"/>
              <w:rPr>
                <w:rFonts w:ascii="Times New Roman" w:eastAsia="Times New Roman" w:hAnsi="Times New Roman" w:cs="Times New Roman"/>
                <w:color w:val="000000"/>
                <w:kern w:val="0"/>
                <w:lang w:eastAsia="es-CO"/>
                <w14:ligatures w14:val="none"/>
              </w:rPr>
            </w:pPr>
            <w:r w:rsidRPr="00FA099F">
              <w:rPr>
                <w:rFonts w:ascii="Times New Roman" w:eastAsia="Times New Roman" w:hAnsi="Times New Roman" w:cs="Times New Roman"/>
                <w:color w:val="000000"/>
                <w:kern w:val="0"/>
                <w:lang w:eastAsia="es-CO"/>
                <w14:ligatures w14:val="none"/>
              </w:rPr>
              <w:t>0,9%</w:t>
            </w:r>
          </w:p>
        </w:tc>
      </w:tr>
    </w:tbl>
    <w:p w14:paraId="613E56DD" w14:textId="1D4B3CB3" w:rsidR="00810AC7" w:rsidRDefault="00907BD1" w:rsidP="00907BD1">
      <w:pPr>
        <w:spacing w:line="360" w:lineRule="auto"/>
        <w:ind w:left="720"/>
        <w:jc w:val="both"/>
        <w:rPr>
          <w:rFonts w:ascii="Times New Roman" w:hAnsi="Times New Roman" w:cs="Times New Roman"/>
        </w:rPr>
      </w:pPr>
      <w:r>
        <w:rPr>
          <w:rFonts w:ascii="Times New Roman" w:hAnsi="Times New Roman" w:cs="Times New Roman"/>
        </w:rPr>
        <w:t xml:space="preserve">      Fuente: elaboración propia</w:t>
      </w:r>
    </w:p>
    <w:p w14:paraId="67A8685E" w14:textId="0645D49C" w:rsidR="00FA099F" w:rsidRDefault="00FA099F" w:rsidP="0073577B">
      <w:pPr>
        <w:spacing w:line="360" w:lineRule="auto"/>
        <w:jc w:val="both"/>
        <w:rPr>
          <w:rFonts w:ascii="Times New Roman" w:hAnsi="Times New Roman" w:cs="Times New Roman"/>
        </w:rPr>
      </w:pPr>
      <w:r w:rsidRPr="00FA099F">
        <w:rPr>
          <w:rFonts w:ascii="Times New Roman" w:hAnsi="Times New Roman" w:cs="Times New Roman"/>
        </w:rPr>
        <w:t>En comparación con 2023, se observó una disminución significativa en los lesionados del 11.2%, pero un leve aumento en los fallecidos del 0.5%. Cabe destacar que este análisis se bas</w:t>
      </w:r>
      <w:r>
        <w:rPr>
          <w:rFonts w:ascii="Times New Roman" w:hAnsi="Times New Roman" w:cs="Times New Roman"/>
        </w:rPr>
        <w:t>ó</w:t>
      </w:r>
      <w:r w:rsidRPr="00FA099F">
        <w:rPr>
          <w:rFonts w:ascii="Times New Roman" w:hAnsi="Times New Roman" w:cs="Times New Roman"/>
        </w:rPr>
        <w:t xml:space="preserve"> en cifras parciales</w:t>
      </w:r>
      <w:r w:rsidR="001B72AA">
        <w:rPr>
          <w:rFonts w:ascii="Times New Roman" w:hAnsi="Times New Roman" w:cs="Times New Roman"/>
        </w:rPr>
        <w:t xml:space="preserve">, con fecha de cohorte a 31 de diciembre de 2024. </w:t>
      </w:r>
    </w:p>
    <w:p w14:paraId="7A8E23AD" w14:textId="77777777" w:rsidR="001B72AA" w:rsidRDefault="001B72AA" w:rsidP="0073577B">
      <w:pPr>
        <w:spacing w:line="360" w:lineRule="auto"/>
        <w:jc w:val="both"/>
        <w:rPr>
          <w:rFonts w:ascii="Times New Roman" w:hAnsi="Times New Roman" w:cs="Times New Roman"/>
        </w:rPr>
      </w:pPr>
    </w:p>
    <w:p w14:paraId="59BADBE0" w14:textId="1582CDAC" w:rsidR="003C2990" w:rsidRPr="001E57D9" w:rsidRDefault="00596865" w:rsidP="002E18B2">
      <w:pPr>
        <w:spacing w:after="0" w:line="360" w:lineRule="auto"/>
        <w:rPr>
          <w:rFonts w:ascii="Times New Roman" w:hAnsi="Times New Roman" w:cs="Times New Roman"/>
          <w:b/>
          <w:bCs/>
        </w:rPr>
      </w:pPr>
      <w:r>
        <w:rPr>
          <w:rFonts w:ascii="Times New Roman" w:hAnsi="Times New Roman" w:cs="Times New Roman"/>
          <w:b/>
          <w:bCs/>
        </w:rPr>
        <w:t>5</w:t>
      </w:r>
      <w:r w:rsidR="00F024CD">
        <w:rPr>
          <w:rFonts w:ascii="Times New Roman" w:hAnsi="Times New Roman" w:cs="Times New Roman"/>
          <w:b/>
          <w:bCs/>
        </w:rPr>
        <w:t xml:space="preserve">. </w:t>
      </w:r>
      <w:r w:rsidR="00184DB1" w:rsidRPr="001E57D9">
        <w:rPr>
          <w:rFonts w:ascii="Times New Roman" w:hAnsi="Times New Roman" w:cs="Times New Roman"/>
          <w:b/>
          <w:bCs/>
        </w:rPr>
        <w:t>Plan navidad</w:t>
      </w:r>
      <w:r w:rsidR="002D4B3F" w:rsidRPr="001E57D9">
        <w:rPr>
          <w:rFonts w:ascii="Times New Roman" w:hAnsi="Times New Roman" w:cs="Times New Roman"/>
          <w:b/>
          <w:bCs/>
        </w:rPr>
        <w:t xml:space="preserve"> 2024</w:t>
      </w:r>
    </w:p>
    <w:p w14:paraId="29E10381" w14:textId="77777777" w:rsidR="00184DB1" w:rsidRPr="00E01C34" w:rsidRDefault="00184DB1" w:rsidP="002E18B2">
      <w:pPr>
        <w:spacing w:after="0" w:line="360" w:lineRule="auto"/>
        <w:rPr>
          <w:rFonts w:ascii="Times New Roman" w:hAnsi="Times New Roman" w:cs="Times New Roman"/>
          <w:b/>
          <w:bCs/>
          <w:color w:val="196B24" w:themeColor="accent3"/>
          <w:highlight w:val="yellow"/>
        </w:rPr>
      </w:pPr>
    </w:p>
    <w:p w14:paraId="01131772" w14:textId="3B9B31D4" w:rsidR="00184DB1" w:rsidRDefault="00215374" w:rsidP="00215374">
      <w:pPr>
        <w:spacing w:after="0" w:line="360" w:lineRule="auto"/>
        <w:jc w:val="both"/>
        <w:rPr>
          <w:rFonts w:ascii="Times New Roman" w:hAnsi="Times New Roman" w:cs="Times New Roman"/>
        </w:rPr>
      </w:pPr>
      <w:r w:rsidRPr="00215374">
        <w:rPr>
          <w:rFonts w:ascii="Times New Roman" w:hAnsi="Times New Roman" w:cs="Times New Roman"/>
        </w:rPr>
        <w:t>En el marco de la Circular Conjunta 058 – PLAN 70D, durante el mes de diciembre de 2024, se ejecutó el Plan Navidad en todo el territorio colombiano, cubriendo las festividades de diciembre y fin de año. Se realizaron controles operativos en vías nacionales, departamentales, municipales, urbanas y rurales.</w:t>
      </w:r>
      <w:r w:rsidR="00184DB1" w:rsidRPr="00215374">
        <w:rPr>
          <w:rFonts w:ascii="Times New Roman" w:hAnsi="Times New Roman" w:cs="Times New Roman"/>
        </w:rPr>
        <w:t> </w:t>
      </w:r>
    </w:p>
    <w:p w14:paraId="72065814" w14:textId="77777777" w:rsidR="006B2B6E" w:rsidRDefault="006B2B6E" w:rsidP="00215374">
      <w:pPr>
        <w:spacing w:after="0" w:line="360" w:lineRule="auto"/>
        <w:jc w:val="both"/>
        <w:rPr>
          <w:rFonts w:ascii="Times New Roman" w:hAnsi="Times New Roman" w:cs="Times New Roman"/>
        </w:rPr>
      </w:pPr>
    </w:p>
    <w:p w14:paraId="62C0FFC9" w14:textId="1800CEB3" w:rsidR="006B2B6E" w:rsidRDefault="006B2B6E" w:rsidP="00215374">
      <w:pPr>
        <w:spacing w:after="0" w:line="360" w:lineRule="auto"/>
        <w:jc w:val="both"/>
        <w:rPr>
          <w:rFonts w:ascii="Times New Roman" w:hAnsi="Times New Roman" w:cs="Times New Roman"/>
        </w:rPr>
      </w:pPr>
      <w:r w:rsidRPr="006B2B6E">
        <w:rPr>
          <w:rFonts w:ascii="Times New Roman" w:hAnsi="Times New Roman" w:cs="Times New Roman"/>
        </w:rPr>
        <w:t>En coordinación con la Agencia Nacional de Seguridad Vial (ANSV), las autoridades de tránsito de nivel nacional (organismos de tránsito, DITRA, Superintendencia de Transporte, INVIAS, ANI), alcaldías, gobernaciones, cuerpos de socorro, entre otros actores, participaron en las ocho jornadas de lanzamiento del Plan Navidad. Estas jornadas incluyeron encuentros con autoridades locales, equipos de la ANSV y autoridades de tránsito en diferentes ciudades de las ocho regiones del país, con el fin de coordinar las acciones de oferta y presencia institucional, además se ejecutaron los controles operativos destinados a reducir la siniestralidad en las carreteras del país.</w:t>
      </w:r>
    </w:p>
    <w:p w14:paraId="00C4BF4E" w14:textId="77777777" w:rsidR="006B2B6E" w:rsidRDefault="006B2B6E" w:rsidP="00215374">
      <w:pPr>
        <w:spacing w:after="0" w:line="360" w:lineRule="auto"/>
        <w:jc w:val="both"/>
        <w:rPr>
          <w:rFonts w:ascii="Times New Roman" w:hAnsi="Times New Roman" w:cs="Times New Roman"/>
        </w:rPr>
      </w:pPr>
    </w:p>
    <w:p w14:paraId="16EBD2CE" w14:textId="2AF5FA5E" w:rsidR="006B2B6E" w:rsidRPr="00215374" w:rsidRDefault="006B2B6E" w:rsidP="00215374">
      <w:pPr>
        <w:spacing w:after="0" w:line="360" w:lineRule="auto"/>
        <w:jc w:val="both"/>
        <w:rPr>
          <w:rFonts w:ascii="Times New Roman" w:hAnsi="Times New Roman" w:cs="Times New Roman"/>
        </w:rPr>
      </w:pPr>
      <w:r w:rsidRPr="006B2B6E">
        <w:rPr>
          <w:rFonts w:ascii="Times New Roman" w:hAnsi="Times New Roman" w:cs="Times New Roman"/>
        </w:rPr>
        <w:t xml:space="preserve">El Gobierno Nacional, en conjunto con el sector Transporte, lanzó una estrategia de prevención para reforzar las acciones de control durante la temporada de fin de año, con el objetivo de disminuir la </w:t>
      </w:r>
      <w:r w:rsidRPr="006B2B6E">
        <w:rPr>
          <w:rFonts w:ascii="Times New Roman" w:hAnsi="Times New Roman" w:cs="Times New Roman"/>
        </w:rPr>
        <w:lastRenderedPageBreak/>
        <w:t>siniestralidad vial en las regiones de Colombia con mayores índices de fallecidos en accidentes de tránsito durante esta época.</w:t>
      </w:r>
    </w:p>
    <w:p w14:paraId="4BD36AE1" w14:textId="77777777" w:rsidR="00215374" w:rsidRPr="00E01C34" w:rsidRDefault="00215374" w:rsidP="00184DB1">
      <w:pPr>
        <w:spacing w:after="0" w:line="360" w:lineRule="auto"/>
        <w:rPr>
          <w:rFonts w:ascii="Times New Roman" w:hAnsi="Times New Roman" w:cs="Times New Roman"/>
          <w:color w:val="196B24" w:themeColor="accent3"/>
        </w:rPr>
      </w:pPr>
    </w:p>
    <w:p w14:paraId="041D04B5" w14:textId="15224512" w:rsidR="00D46CF8" w:rsidRPr="00D46CF8" w:rsidRDefault="00184DB1" w:rsidP="00D46CF8">
      <w:pPr>
        <w:spacing w:after="0" w:line="360" w:lineRule="auto"/>
        <w:rPr>
          <w:rFonts w:ascii="Times New Roman" w:hAnsi="Times New Roman" w:cs="Times New Roman"/>
          <w:b/>
          <w:color w:val="196B24" w:themeColor="accent3"/>
        </w:rPr>
      </w:pPr>
      <w:r w:rsidRPr="00596865">
        <w:rPr>
          <w:rFonts w:ascii="Times New Roman" w:hAnsi="Times New Roman" w:cs="Times New Roman"/>
          <w:b/>
        </w:rPr>
        <w:t> </w:t>
      </w:r>
      <w:r w:rsidR="00596865" w:rsidRPr="00596865">
        <w:rPr>
          <w:rFonts w:ascii="Times New Roman" w:hAnsi="Times New Roman" w:cs="Times New Roman"/>
          <w:b/>
        </w:rPr>
        <w:t>5.1</w:t>
      </w:r>
      <w:r w:rsidR="00596865" w:rsidRPr="00596865">
        <w:rPr>
          <w:rFonts w:ascii="Times New Roman" w:hAnsi="Times New Roman" w:cs="Times New Roman"/>
        </w:rPr>
        <w:t xml:space="preserve"> </w:t>
      </w:r>
      <w:r w:rsidR="00D46CF8" w:rsidRPr="00D46CF8">
        <w:rPr>
          <w:rFonts w:ascii="Times New Roman" w:hAnsi="Times New Roman" w:cs="Times New Roman"/>
          <w:b/>
        </w:rPr>
        <w:t>Un análisis comparado. El Plan navidad 2023 VS el Plan Navidad 2024</w:t>
      </w:r>
    </w:p>
    <w:p w14:paraId="684A3A6A" w14:textId="77777777" w:rsidR="00D46CF8" w:rsidRPr="00D46CF8" w:rsidRDefault="00D46CF8" w:rsidP="00D46CF8">
      <w:pPr>
        <w:spacing w:after="0" w:line="360" w:lineRule="auto"/>
        <w:rPr>
          <w:rFonts w:ascii="Times New Roman" w:hAnsi="Times New Roman" w:cs="Times New Roman"/>
          <w:color w:val="196B24" w:themeColor="accent3"/>
        </w:rPr>
      </w:pPr>
    </w:p>
    <w:p w14:paraId="7A130EB6" w14:textId="6A634C44" w:rsidR="00184DB1" w:rsidRPr="00D46CF8" w:rsidRDefault="00D46CF8" w:rsidP="00D46CF8">
      <w:pPr>
        <w:spacing w:after="0" w:line="360" w:lineRule="auto"/>
        <w:jc w:val="both"/>
        <w:rPr>
          <w:rFonts w:ascii="Times New Roman" w:hAnsi="Times New Roman" w:cs="Times New Roman"/>
        </w:rPr>
      </w:pPr>
      <w:r>
        <w:rPr>
          <w:rFonts w:ascii="Times New Roman" w:hAnsi="Times New Roman" w:cs="Times New Roman"/>
        </w:rPr>
        <w:t>Teniendo en cuenta</w:t>
      </w:r>
      <w:r w:rsidRPr="00D46CF8">
        <w:rPr>
          <w:rFonts w:ascii="Times New Roman" w:hAnsi="Times New Roman" w:cs="Times New Roman"/>
        </w:rPr>
        <w:t xml:space="preserve"> que el Plan Navidad fue una estrategia liderada por la ANSV para reducir la siniestr</w:t>
      </w:r>
      <w:r>
        <w:rPr>
          <w:rFonts w:ascii="Times New Roman" w:hAnsi="Times New Roman" w:cs="Times New Roman"/>
        </w:rPr>
        <w:t>alidad durante la temporada de n</w:t>
      </w:r>
      <w:r w:rsidRPr="00D46CF8">
        <w:rPr>
          <w:rFonts w:ascii="Times New Roman" w:hAnsi="Times New Roman" w:cs="Times New Roman"/>
        </w:rPr>
        <w:t>avidad y fin de año; a continuación se presenta un análisis comparativo</w:t>
      </w:r>
      <w:r>
        <w:rPr>
          <w:rFonts w:ascii="Times New Roman" w:hAnsi="Times New Roman" w:cs="Times New Roman"/>
        </w:rPr>
        <w:t xml:space="preserve"> </w:t>
      </w:r>
      <w:r w:rsidRPr="00D46CF8">
        <w:rPr>
          <w:rFonts w:ascii="Times New Roman" w:hAnsi="Times New Roman" w:cs="Times New Roman"/>
        </w:rPr>
        <w:t>entre el Plan Navidad 2023 y el Plan Navidad 2024, ambos integrados en la estrategia del Plan 70D.</w:t>
      </w:r>
    </w:p>
    <w:p w14:paraId="30E0A1A2" w14:textId="77777777" w:rsidR="00184DB1" w:rsidRPr="00E01C34" w:rsidRDefault="00184DB1" w:rsidP="00184DB1">
      <w:pPr>
        <w:spacing w:after="0" w:line="360" w:lineRule="auto"/>
        <w:rPr>
          <w:rFonts w:ascii="Times New Roman" w:hAnsi="Times New Roman" w:cs="Times New Roman"/>
          <w:b/>
          <w:bCs/>
          <w:color w:val="196B24" w:themeColor="accent3"/>
          <w:highlight w:val="cyan"/>
        </w:rPr>
      </w:pPr>
    </w:p>
    <w:p w14:paraId="1F75F013" w14:textId="4CCAE4B3" w:rsidR="0076061A" w:rsidRDefault="0076061A" w:rsidP="0076061A">
      <w:pPr>
        <w:pStyle w:val="Prrafodelista"/>
        <w:numPr>
          <w:ilvl w:val="1"/>
          <w:numId w:val="11"/>
        </w:numPr>
        <w:spacing w:after="0" w:line="360" w:lineRule="auto"/>
        <w:ind w:left="720"/>
        <w:rPr>
          <w:rFonts w:ascii="Times New Roman" w:hAnsi="Times New Roman" w:cs="Times New Roman"/>
          <w:b/>
          <w:bCs/>
        </w:rPr>
      </w:pPr>
      <w:r w:rsidRPr="00A10297">
        <w:rPr>
          <w:rFonts w:ascii="Times New Roman" w:hAnsi="Times New Roman" w:cs="Times New Roman"/>
          <w:b/>
          <w:bCs/>
        </w:rPr>
        <w:t>N</w:t>
      </w:r>
      <w:r w:rsidR="00A10297" w:rsidRPr="00A10297">
        <w:rPr>
          <w:rFonts w:ascii="Times New Roman" w:hAnsi="Times New Roman" w:cs="Times New Roman"/>
          <w:b/>
          <w:bCs/>
        </w:rPr>
        <w:t>ú</w:t>
      </w:r>
      <w:r w:rsidRPr="00A10297">
        <w:rPr>
          <w:rFonts w:ascii="Times New Roman" w:hAnsi="Times New Roman" w:cs="Times New Roman"/>
          <w:b/>
          <w:bCs/>
        </w:rPr>
        <w:t>mero de rep</w:t>
      </w:r>
      <w:r w:rsidR="00A10297" w:rsidRPr="00A10297">
        <w:rPr>
          <w:rFonts w:ascii="Times New Roman" w:hAnsi="Times New Roman" w:cs="Times New Roman"/>
          <w:b/>
          <w:bCs/>
        </w:rPr>
        <w:t>ortes desagregados por semanas</w:t>
      </w:r>
    </w:p>
    <w:p w14:paraId="7C43A4F0" w14:textId="77777777" w:rsidR="00A10297" w:rsidRPr="00A10297" w:rsidRDefault="00A10297" w:rsidP="00A10297">
      <w:pPr>
        <w:spacing w:after="0" w:line="360" w:lineRule="auto"/>
        <w:ind w:left="360"/>
        <w:rPr>
          <w:rFonts w:ascii="Times New Roman" w:hAnsi="Times New Roman" w:cs="Times New Roman"/>
          <w:b/>
          <w:bCs/>
        </w:rPr>
      </w:pPr>
    </w:p>
    <w:p w14:paraId="0A87D94E" w14:textId="3A0F6933" w:rsidR="0076061A" w:rsidRPr="00A10297" w:rsidRDefault="00A10297" w:rsidP="00A10297">
      <w:pPr>
        <w:spacing w:after="0" w:line="360" w:lineRule="auto"/>
        <w:jc w:val="both"/>
        <w:rPr>
          <w:rFonts w:ascii="Times New Roman" w:hAnsi="Times New Roman" w:cs="Times New Roman"/>
          <w:bCs/>
        </w:rPr>
      </w:pPr>
      <w:r w:rsidRPr="00A10297">
        <w:rPr>
          <w:rFonts w:ascii="Times New Roman" w:hAnsi="Times New Roman" w:cs="Times New Roman"/>
          <w:bCs/>
        </w:rPr>
        <w:t>Durante la ejecución del Plan Navidad, según los datos de la ANSV, se reportaron un total de 3.348 reportes en 2024, desglosados por semana, frente a 1.950 reportes en 2023. Esto muestra un promedio de 563 y 325 reportes respectivamente a lo largo de la ejecución, lo que indica un aumento del 71.69% en la cantidad de reportes de 2023 a 2024.</w:t>
      </w:r>
    </w:p>
    <w:p w14:paraId="18A834FE" w14:textId="45F825C8" w:rsidR="0076061A" w:rsidRPr="00E01C34" w:rsidRDefault="0076061A" w:rsidP="0076061A">
      <w:pPr>
        <w:spacing w:line="360" w:lineRule="auto"/>
        <w:rPr>
          <w:rFonts w:ascii="Times New Roman" w:hAnsi="Times New Roman" w:cs="Times New Roman"/>
          <w:color w:val="196B24" w:themeColor="accent3"/>
        </w:rPr>
      </w:pPr>
    </w:p>
    <w:p w14:paraId="0805BBD5" w14:textId="77777777" w:rsidR="0076061A" w:rsidRPr="00E01C34" w:rsidRDefault="0076061A" w:rsidP="00907BD1">
      <w:pPr>
        <w:spacing w:after="0" w:line="240" w:lineRule="auto"/>
        <w:rPr>
          <w:rFonts w:ascii="Times New Roman" w:hAnsi="Times New Roman" w:cs="Times New Roman"/>
          <w:color w:val="196B24" w:themeColor="accent3"/>
        </w:rPr>
      </w:pPr>
      <w:r w:rsidRPr="00E01C34">
        <w:rPr>
          <w:noProof/>
          <w:color w:val="196B24" w:themeColor="accent3"/>
          <w:lang w:eastAsia="es-CO"/>
        </w:rPr>
        <w:drawing>
          <wp:inline distT="0" distB="0" distL="0" distR="0" wp14:anchorId="3853D835" wp14:editId="06690D83">
            <wp:extent cx="5856919" cy="2008960"/>
            <wp:effectExtent l="0" t="0" r="0" b="0"/>
            <wp:docPr id="262824922" name="Gráfico 1">
              <a:extLst xmlns:a="http://schemas.openxmlformats.org/drawingml/2006/main">
                <a:ext uri="{FF2B5EF4-FFF2-40B4-BE49-F238E27FC236}">
                  <a16:creationId xmlns:a16="http://schemas.microsoft.com/office/drawing/2014/main" id="{FCD85120-BD71-732D-2F30-0627D6849B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0EB8DFA" w14:textId="17B29EB8" w:rsidR="00907BD1" w:rsidRDefault="00907BD1" w:rsidP="00384213">
      <w:pPr>
        <w:spacing w:line="360" w:lineRule="auto"/>
        <w:jc w:val="both"/>
        <w:rPr>
          <w:rFonts w:ascii="Times New Roman" w:hAnsi="Times New Roman" w:cs="Times New Roman"/>
        </w:rPr>
      </w:pPr>
      <w:r>
        <w:rPr>
          <w:rFonts w:ascii="Times New Roman" w:hAnsi="Times New Roman" w:cs="Times New Roman"/>
        </w:rPr>
        <w:t>Fuente: elaboración propia</w:t>
      </w:r>
    </w:p>
    <w:p w14:paraId="6E275101" w14:textId="77777777" w:rsidR="004F0089" w:rsidRPr="00384213" w:rsidRDefault="004F0089" w:rsidP="00384213">
      <w:pPr>
        <w:spacing w:line="360" w:lineRule="auto"/>
        <w:jc w:val="both"/>
        <w:rPr>
          <w:rFonts w:ascii="Times New Roman" w:hAnsi="Times New Roman" w:cs="Times New Roman"/>
        </w:rPr>
      </w:pPr>
      <w:r w:rsidRPr="00384213">
        <w:rPr>
          <w:rFonts w:ascii="Times New Roman" w:hAnsi="Times New Roman" w:cs="Times New Roman"/>
        </w:rPr>
        <w:t>Cabe aclarar que, para la semana 6, los registros fueron inferiores debido a que no se completó la semana.</w:t>
      </w:r>
    </w:p>
    <w:p w14:paraId="2914DD53" w14:textId="755B925D" w:rsidR="0076061A" w:rsidRDefault="0076061A" w:rsidP="004F0089">
      <w:pPr>
        <w:pStyle w:val="Prrafodelista"/>
        <w:numPr>
          <w:ilvl w:val="1"/>
          <w:numId w:val="11"/>
        </w:numPr>
        <w:spacing w:after="0" w:line="360" w:lineRule="auto"/>
        <w:ind w:left="720"/>
        <w:rPr>
          <w:rFonts w:ascii="Times New Roman" w:hAnsi="Times New Roman" w:cs="Times New Roman"/>
          <w:b/>
          <w:bCs/>
        </w:rPr>
      </w:pPr>
      <w:r w:rsidRPr="004F0089">
        <w:rPr>
          <w:rFonts w:ascii="Times New Roman" w:hAnsi="Times New Roman" w:cs="Times New Roman"/>
          <w:b/>
          <w:bCs/>
        </w:rPr>
        <w:t xml:space="preserve">Acciones desarrolladas por la ANSV </w:t>
      </w:r>
    </w:p>
    <w:p w14:paraId="128EC5D9" w14:textId="77777777" w:rsidR="00384213" w:rsidRPr="004F0089" w:rsidRDefault="00384213" w:rsidP="00384213">
      <w:pPr>
        <w:pStyle w:val="Prrafodelista"/>
        <w:spacing w:after="0" w:line="360" w:lineRule="auto"/>
        <w:rPr>
          <w:rFonts w:ascii="Times New Roman" w:hAnsi="Times New Roman" w:cs="Times New Roman"/>
          <w:b/>
          <w:bCs/>
        </w:rPr>
      </w:pPr>
    </w:p>
    <w:p w14:paraId="067F32DB" w14:textId="77777777" w:rsidR="00BB0D2C" w:rsidRDefault="00384213" w:rsidP="00BB0D2C">
      <w:pPr>
        <w:spacing w:after="0" w:line="360" w:lineRule="auto"/>
        <w:jc w:val="both"/>
        <w:rPr>
          <w:rFonts w:ascii="Times New Roman" w:hAnsi="Times New Roman" w:cs="Times New Roman"/>
        </w:rPr>
      </w:pPr>
      <w:r w:rsidRPr="00384213">
        <w:rPr>
          <w:rFonts w:ascii="Times New Roman" w:hAnsi="Times New Roman" w:cs="Times New Roman"/>
        </w:rPr>
        <w:lastRenderedPageBreak/>
        <w:t>Otros de los aspectos más relevantes fueron las acciones preventivas y pedagógicas realizadas por la ANSV a través de su oferta institucional desplegada en los territorios, dirigida a los actores viales más vulnerables. Estas incluyeron programas como: Moto destrezas, bici destrezas, así como temas sobre la velocidad, el consumo de alcohol y la fatiga por exceso de horas de conducción.</w:t>
      </w:r>
    </w:p>
    <w:p w14:paraId="323C8AF5" w14:textId="58CE9CC0" w:rsidR="00BB0D2C" w:rsidRDefault="00384213" w:rsidP="00907BD1">
      <w:pPr>
        <w:spacing w:after="0" w:line="240" w:lineRule="auto"/>
        <w:jc w:val="both"/>
        <w:rPr>
          <w:rFonts w:ascii="Times New Roman" w:hAnsi="Times New Roman" w:cs="Times New Roman"/>
        </w:rPr>
      </w:pPr>
      <w:r w:rsidRPr="00384213">
        <w:rPr>
          <w:rFonts w:ascii="Times New Roman" w:hAnsi="Times New Roman" w:cs="Times New Roman"/>
        </w:rPr>
        <w:t xml:space="preserve"> </w:t>
      </w:r>
    </w:p>
    <w:p w14:paraId="6E77D6FA" w14:textId="77777777" w:rsidR="00BB0D2C" w:rsidRDefault="00BB0D2C" w:rsidP="00907BD1">
      <w:pPr>
        <w:spacing w:after="0" w:line="240" w:lineRule="auto"/>
        <w:jc w:val="both"/>
        <w:rPr>
          <w:rFonts w:ascii="Times New Roman" w:hAnsi="Times New Roman" w:cs="Times New Roman"/>
        </w:rPr>
      </w:pPr>
    </w:p>
    <w:p w14:paraId="21221470" w14:textId="57ABA222" w:rsidR="00384213" w:rsidRDefault="0076061A" w:rsidP="00907BD1">
      <w:pPr>
        <w:spacing w:after="0" w:line="240" w:lineRule="auto"/>
        <w:jc w:val="both"/>
        <w:rPr>
          <w:rFonts w:ascii="Times New Roman" w:hAnsi="Times New Roman" w:cs="Times New Roman"/>
          <w:color w:val="196B24" w:themeColor="accent3"/>
        </w:rPr>
      </w:pPr>
      <w:r w:rsidRPr="00E01C34">
        <w:rPr>
          <w:noProof/>
          <w:color w:val="196B24" w:themeColor="accent3"/>
          <w:lang w:eastAsia="es-CO"/>
        </w:rPr>
        <w:drawing>
          <wp:inline distT="0" distB="0" distL="0" distR="0" wp14:anchorId="4F6608E4" wp14:editId="2E7C7184">
            <wp:extent cx="5938501" cy="2117737"/>
            <wp:effectExtent l="0" t="0" r="0" b="0"/>
            <wp:docPr id="2023065253" name="Gráfico 1">
              <a:extLst xmlns:a="http://schemas.openxmlformats.org/drawingml/2006/main">
                <a:ext uri="{FF2B5EF4-FFF2-40B4-BE49-F238E27FC236}">
                  <a16:creationId xmlns:a16="http://schemas.microsoft.com/office/drawing/2014/main" id="{9FA99CAF-DD2D-ACEF-BA0B-85512FC311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87996C9" w14:textId="77777777" w:rsidR="00907BD1" w:rsidRDefault="00907BD1" w:rsidP="00907BD1">
      <w:pPr>
        <w:spacing w:line="360" w:lineRule="auto"/>
        <w:jc w:val="both"/>
        <w:rPr>
          <w:rFonts w:ascii="Times New Roman" w:hAnsi="Times New Roman" w:cs="Times New Roman"/>
        </w:rPr>
      </w:pPr>
      <w:r>
        <w:rPr>
          <w:rFonts w:ascii="Times New Roman" w:hAnsi="Times New Roman" w:cs="Times New Roman"/>
        </w:rPr>
        <w:t>Fuente: elaboración propia</w:t>
      </w:r>
    </w:p>
    <w:p w14:paraId="0D259365" w14:textId="3376E2B5" w:rsidR="0076061A" w:rsidRDefault="00384213" w:rsidP="00384213">
      <w:pPr>
        <w:spacing w:line="360" w:lineRule="auto"/>
        <w:jc w:val="both"/>
        <w:rPr>
          <w:rFonts w:ascii="Times New Roman" w:hAnsi="Times New Roman" w:cs="Times New Roman"/>
        </w:rPr>
      </w:pPr>
      <w:r w:rsidRPr="00384213">
        <w:rPr>
          <w:rFonts w:ascii="Times New Roman" w:hAnsi="Times New Roman" w:cs="Times New Roman"/>
        </w:rPr>
        <w:t>La comparación de los datos mostró una notable diferencia en la cantidad de acciones preventivas y pedagógicas realizadas por la ANSV en 2024 en comparación con el mismo periodo de 2023.</w:t>
      </w:r>
    </w:p>
    <w:p w14:paraId="7594378C" w14:textId="68AA3A0B" w:rsidR="0076061A" w:rsidRPr="00384213" w:rsidRDefault="00384213" w:rsidP="0076061A">
      <w:pPr>
        <w:pStyle w:val="Prrafodelista"/>
        <w:numPr>
          <w:ilvl w:val="1"/>
          <w:numId w:val="11"/>
        </w:numPr>
        <w:spacing w:line="360" w:lineRule="auto"/>
        <w:ind w:left="720"/>
        <w:rPr>
          <w:rFonts w:ascii="Times New Roman" w:hAnsi="Times New Roman" w:cs="Times New Roman"/>
          <w:b/>
          <w:bCs/>
        </w:rPr>
      </w:pPr>
      <w:r w:rsidRPr="00384213">
        <w:rPr>
          <w:rFonts w:ascii="Times New Roman" w:hAnsi="Times New Roman" w:cs="Times New Roman"/>
          <w:b/>
          <w:bCs/>
        </w:rPr>
        <w:t>Nú</w:t>
      </w:r>
      <w:r w:rsidR="0076061A" w:rsidRPr="00384213">
        <w:rPr>
          <w:rFonts w:ascii="Times New Roman" w:hAnsi="Times New Roman" w:cs="Times New Roman"/>
          <w:b/>
          <w:bCs/>
        </w:rPr>
        <w:t xml:space="preserve">mero de comparendos impuestos </w:t>
      </w:r>
    </w:p>
    <w:p w14:paraId="5901A612" w14:textId="77777777" w:rsidR="009E5786" w:rsidRPr="009E5786" w:rsidRDefault="009E5786" w:rsidP="009E5786">
      <w:pPr>
        <w:spacing w:line="360" w:lineRule="auto"/>
        <w:jc w:val="both"/>
        <w:rPr>
          <w:rFonts w:ascii="Times New Roman" w:hAnsi="Times New Roman" w:cs="Times New Roman"/>
        </w:rPr>
      </w:pPr>
      <w:r w:rsidRPr="009E5786">
        <w:rPr>
          <w:rFonts w:ascii="Times New Roman" w:hAnsi="Times New Roman" w:cs="Times New Roman"/>
        </w:rPr>
        <w:t>Como resultado de los puntos de control sancionatorios, las autoridades de tránsito y transporte impusieron aproximadamente 61.637 comparendos en 2024, frente a 29.948 comparendos en 2023, relacionados con la revisión de documentación y cumplimiento de la norma. Esta diferencia reflejó un aumento del 105.83% en la cantidad de comparendos de 2023 a 2024.</w:t>
      </w:r>
    </w:p>
    <w:p w14:paraId="458E88F2" w14:textId="2F4CF2A8" w:rsidR="0076061A" w:rsidRPr="00E01C34" w:rsidRDefault="0076061A" w:rsidP="00907BD1">
      <w:pPr>
        <w:spacing w:after="0" w:line="240" w:lineRule="auto"/>
        <w:rPr>
          <w:rFonts w:ascii="Times New Roman" w:hAnsi="Times New Roman" w:cs="Times New Roman"/>
          <w:color w:val="196B24" w:themeColor="accent3"/>
        </w:rPr>
      </w:pPr>
      <w:r w:rsidRPr="00E01C34">
        <w:rPr>
          <w:noProof/>
          <w:color w:val="196B24" w:themeColor="accent3"/>
          <w:lang w:eastAsia="es-CO"/>
        </w:rPr>
        <w:drawing>
          <wp:inline distT="0" distB="0" distL="0" distR="0" wp14:anchorId="1A191F50" wp14:editId="7841A821">
            <wp:extent cx="5870516" cy="2022557"/>
            <wp:effectExtent l="0" t="0" r="0" b="0"/>
            <wp:docPr id="490257284" name="Gráfico 1">
              <a:extLst xmlns:a="http://schemas.openxmlformats.org/drawingml/2006/main">
                <a:ext uri="{FF2B5EF4-FFF2-40B4-BE49-F238E27FC236}">
                  <a16:creationId xmlns:a16="http://schemas.microsoft.com/office/drawing/2014/main" id="{AAB689AC-5E4B-CDDC-2248-306AE14691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67A5EE2" w14:textId="77777777" w:rsidR="00907BD1" w:rsidRDefault="00907BD1" w:rsidP="00907BD1">
      <w:pPr>
        <w:spacing w:line="360" w:lineRule="auto"/>
        <w:jc w:val="both"/>
        <w:rPr>
          <w:rFonts w:ascii="Times New Roman" w:hAnsi="Times New Roman" w:cs="Times New Roman"/>
        </w:rPr>
      </w:pPr>
      <w:r>
        <w:rPr>
          <w:rFonts w:ascii="Times New Roman" w:hAnsi="Times New Roman" w:cs="Times New Roman"/>
        </w:rPr>
        <w:lastRenderedPageBreak/>
        <w:t>Fuente: elaboración propia</w:t>
      </w:r>
    </w:p>
    <w:p w14:paraId="08289485" w14:textId="77777777" w:rsidR="0076061A" w:rsidRPr="009E5786" w:rsidRDefault="0076061A" w:rsidP="0076061A">
      <w:pPr>
        <w:pStyle w:val="Prrafodelista"/>
        <w:numPr>
          <w:ilvl w:val="1"/>
          <w:numId w:val="11"/>
        </w:numPr>
        <w:spacing w:line="360" w:lineRule="auto"/>
        <w:ind w:left="720"/>
        <w:rPr>
          <w:rFonts w:ascii="Times New Roman" w:hAnsi="Times New Roman" w:cs="Times New Roman"/>
          <w:b/>
          <w:bCs/>
        </w:rPr>
      </w:pPr>
      <w:r w:rsidRPr="009E5786">
        <w:rPr>
          <w:rFonts w:ascii="Times New Roman" w:hAnsi="Times New Roman" w:cs="Times New Roman"/>
          <w:b/>
          <w:bCs/>
        </w:rPr>
        <w:t>Actores informados</w:t>
      </w:r>
    </w:p>
    <w:p w14:paraId="45A5230E" w14:textId="77777777" w:rsidR="00C261E5" w:rsidRPr="00C261E5" w:rsidRDefault="00C261E5" w:rsidP="00C261E5">
      <w:pPr>
        <w:spacing w:line="360" w:lineRule="auto"/>
        <w:jc w:val="both"/>
        <w:rPr>
          <w:rFonts w:ascii="Times New Roman" w:hAnsi="Times New Roman" w:cs="Times New Roman"/>
        </w:rPr>
      </w:pPr>
      <w:r w:rsidRPr="00C261E5">
        <w:rPr>
          <w:rFonts w:ascii="Times New Roman" w:hAnsi="Times New Roman" w:cs="Times New Roman"/>
        </w:rPr>
        <w:t>Según los registros, en 2024 se informaron a más de 190.248 actores viales, mientras que en 2023 la cifra fue de 145.975, lo que representa un incremento del 30.31% en la cantidad de actores informados entre ambos años.</w:t>
      </w:r>
    </w:p>
    <w:p w14:paraId="14938ADF" w14:textId="6B3E988A" w:rsidR="0076061A" w:rsidRPr="00E01C34" w:rsidRDefault="0076061A" w:rsidP="00907BD1">
      <w:pPr>
        <w:spacing w:after="0" w:line="240" w:lineRule="auto"/>
        <w:rPr>
          <w:rFonts w:ascii="Times New Roman" w:hAnsi="Times New Roman" w:cs="Times New Roman"/>
          <w:color w:val="196B24" w:themeColor="accent3"/>
        </w:rPr>
      </w:pPr>
      <w:r w:rsidRPr="00E01C34">
        <w:rPr>
          <w:noProof/>
          <w:color w:val="196B24" w:themeColor="accent3"/>
          <w:lang w:eastAsia="es-CO"/>
        </w:rPr>
        <w:drawing>
          <wp:inline distT="0" distB="0" distL="0" distR="0" wp14:anchorId="479689A6" wp14:editId="76C80FD3">
            <wp:extent cx="5880713" cy="2124535"/>
            <wp:effectExtent l="0" t="0" r="0" b="0"/>
            <wp:docPr id="384460266" name="Gráfico 1">
              <a:extLst xmlns:a="http://schemas.openxmlformats.org/drawingml/2006/main">
                <a:ext uri="{FF2B5EF4-FFF2-40B4-BE49-F238E27FC236}">
                  <a16:creationId xmlns:a16="http://schemas.microsoft.com/office/drawing/2014/main" id="{94EBB1D4-36B3-D534-7CCB-1A10D0DF56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B1A6B5" w14:textId="77777777" w:rsidR="00907BD1" w:rsidRDefault="00907BD1" w:rsidP="00907BD1">
      <w:pPr>
        <w:spacing w:line="360" w:lineRule="auto"/>
        <w:jc w:val="both"/>
        <w:rPr>
          <w:rFonts w:ascii="Times New Roman" w:hAnsi="Times New Roman" w:cs="Times New Roman"/>
        </w:rPr>
      </w:pPr>
      <w:r>
        <w:rPr>
          <w:rFonts w:ascii="Times New Roman" w:hAnsi="Times New Roman" w:cs="Times New Roman"/>
        </w:rPr>
        <w:t>Fuente: elaboración propia</w:t>
      </w:r>
    </w:p>
    <w:p w14:paraId="7B435850" w14:textId="77777777" w:rsidR="0076061A" w:rsidRPr="00C261E5" w:rsidRDefault="0076061A" w:rsidP="0076061A">
      <w:pPr>
        <w:pStyle w:val="Prrafodelista"/>
        <w:numPr>
          <w:ilvl w:val="1"/>
          <w:numId w:val="11"/>
        </w:numPr>
        <w:spacing w:line="360" w:lineRule="auto"/>
        <w:ind w:left="720"/>
        <w:rPr>
          <w:rFonts w:ascii="Times New Roman" w:hAnsi="Times New Roman" w:cs="Times New Roman"/>
          <w:b/>
          <w:bCs/>
        </w:rPr>
      </w:pPr>
      <w:r w:rsidRPr="00C261E5">
        <w:rPr>
          <w:rFonts w:ascii="Times New Roman" w:hAnsi="Times New Roman" w:cs="Times New Roman"/>
          <w:b/>
          <w:bCs/>
        </w:rPr>
        <w:t>Municipios con acciones</w:t>
      </w:r>
    </w:p>
    <w:p w14:paraId="6DFFFE29" w14:textId="4BAFC69F" w:rsidR="00907BD1" w:rsidRDefault="00C261E5" w:rsidP="00C261E5">
      <w:pPr>
        <w:spacing w:line="360" w:lineRule="auto"/>
        <w:jc w:val="both"/>
        <w:rPr>
          <w:rFonts w:ascii="Times New Roman" w:hAnsi="Times New Roman" w:cs="Times New Roman"/>
        </w:rPr>
      </w:pPr>
      <w:r w:rsidRPr="00CF545C">
        <w:rPr>
          <w:rFonts w:ascii="Times New Roman" w:hAnsi="Times New Roman" w:cs="Times New Roman"/>
        </w:rPr>
        <w:t>Durante la ejecución del Plan Navidad dentro del Plan 70D en 2024, se llevaron a cabo acciones en 265 municipios, frente a 205 municipios en 2023. Esto muestra un aumento del 29.27% en la cantidad de municipios involucrados de 2023 a 2024.</w:t>
      </w:r>
      <w:r w:rsidR="001B72AA">
        <w:rPr>
          <w:rFonts w:ascii="Times New Roman" w:hAnsi="Times New Roman" w:cs="Times New Roman"/>
        </w:rPr>
        <w:t>\</w:t>
      </w:r>
    </w:p>
    <w:p w14:paraId="15DFBDCA" w14:textId="2DCA203E" w:rsidR="001B72AA" w:rsidRDefault="001B72AA" w:rsidP="001B72AA">
      <w:pPr>
        <w:spacing w:line="360" w:lineRule="auto"/>
        <w:jc w:val="both"/>
        <w:rPr>
          <w:rFonts w:ascii="Times New Roman" w:hAnsi="Times New Roman" w:cs="Times New Roman"/>
        </w:rPr>
      </w:pPr>
      <w:r>
        <w:rPr>
          <w:rFonts w:ascii="Times New Roman" w:hAnsi="Times New Roman" w:cs="Times New Roman"/>
        </w:rPr>
        <w:br/>
      </w:r>
    </w:p>
    <w:p w14:paraId="220E090C" w14:textId="77777777" w:rsidR="00907BD1" w:rsidRDefault="00907BD1" w:rsidP="00C261E5">
      <w:pPr>
        <w:spacing w:line="360" w:lineRule="auto"/>
        <w:jc w:val="both"/>
        <w:rPr>
          <w:rFonts w:ascii="Times New Roman" w:hAnsi="Times New Roman" w:cs="Times New Roman"/>
        </w:rPr>
      </w:pPr>
    </w:p>
    <w:p w14:paraId="4DF90140" w14:textId="10C649E8" w:rsidR="0076061A" w:rsidRPr="00CF545C" w:rsidRDefault="00925732" w:rsidP="00A7244B">
      <w:pPr>
        <w:spacing w:after="0" w:line="240" w:lineRule="auto"/>
        <w:jc w:val="center"/>
        <w:rPr>
          <w:rFonts w:ascii="Times New Roman" w:hAnsi="Times New Roman" w:cs="Times New Roman"/>
        </w:rPr>
      </w:pPr>
      <w:r w:rsidRPr="00CF545C">
        <w:rPr>
          <w:rFonts w:ascii="Times New Roman" w:hAnsi="Times New Roman" w:cs="Times New Roman"/>
          <w:noProof/>
          <w:lang w:eastAsia="es-CO"/>
        </w:rPr>
        <w:lastRenderedPageBreak/>
        <w:drawing>
          <wp:inline distT="0" distB="0" distL="0" distR="0" wp14:anchorId="75520C3A" wp14:editId="137502B5">
            <wp:extent cx="3946967" cy="2669387"/>
            <wp:effectExtent l="0" t="0" r="0" b="0"/>
            <wp:docPr id="393123073" name="Gráfico 1">
              <a:extLst xmlns:a="http://schemas.openxmlformats.org/drawingml/2006/main">
                <a:ext uri="{FF2B5EF4-FFF2-40B4-BE49-F238E27FC236}">
                  <a16:creationId xmlns:a16="http://schemas.microsoft.com/office/drawing/2014/main" id="{9EB4EEDA-C0F2-219C-1945-C8AF22246C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F7DDAF1" w14:textId="77777777" w:rsidR="00907BD1" w:rsidRDefault="00907BD1" w:rsidP="00A7244B">
      <w:pPr>
        <w:spacing w:line="360" w:lineRule="auto"/>
        <w:ind w:left="1440" w:firstLine="720"/>
        <w:jc w:val="both"/>
        <w:rPr>
          <w:rFonts w:ascii="Times New Roman" w:hAnsi="Times New Roman" w:cs="Times New Roman"/>
        </w:rPr>
      </w:pPr>
      <w:r>
        <w:rPr>
          <w:rFonts w:ascii="Times New Roman" w:hAnsi="Times New Roman" w:cs="Times New Roman"/>
        </w:rPr>
        <w:t>Fuente: elaboración propia</w:t>
      </w:r>
    </w:p>
    <w:p w14:paraId="48F45122" w14:textId="77777777" w:rsidR="00A7244B" w:rsidRDefault="00A7244B" w:rsidP="00A7244B">
      <w:pPr>
        <w:spacing w:line="360" w:lineRule="auto"/>
        <w:jc w:val="both"/>
        <w:rPr>
          <w:rFonts w:ascii="Times New Roman" w:hAnsi="Times New Roman" w:cs="Times New Roman"/>
        </w:rPr>
      </w:pPr>
    </w:p>
    <w:p w14:paraId="0891B7A5" w14:textId="42680151" w:rsidR="00A7244B" w:rsidRDefault="00A7244B" w:rsidP="00A7244B">
      <w:pPr>
        <w:spacing w:line="360" w:lineRule="auto"/>
        <w:jc w:val="both"/>
        <w:rPr>
          <w:rFonts w:ascii="Times New Roman" w:hAnsi="Times New Roman" w:cs="Times New Roman"/>
        </w:rPr>
      </w:pPr>
      <w:r>
        <w:rPr>
          <w:rFonts w:ascii="Times New Roman" w:hAnsi="Times New Roman" w:cs="Times New Roman"/>
        </w:rPr>
        <w:t xml:space="preserve">En conclusión, es posible afirmar que el Plan Navidad para la vigencia 2024 </w:t>
      </w:r>
      <w:r>
        <w:rPr>
          <w:rFonts w:ascii="Times New Roman" w:hAnsi="Times New Roman" w:cs="Times New Roman"/>
        </w:rPr>
        <w:t xml:space="preserve">reporto </w:t>
      </w:r>
      <w:r>
        <w:rPr>
          <w:rFonts w:ascii="Times New Roman" w:hAnsi="Times New Roman" w:cs="Times New Roman"/>
        </w:rPr>
        <w:t>avance</w:t>
      </w:r>
      <w:r>
        <w:rPr>
          <w:rFonts w:ascii="Times New Roman" w:hAnsi="Times New Roman" w:cs="Times New Roman"/>
        </w:rPr>
        <w:t>s</w:t>
      </w:r>
      <w:r>
        <w:rPr>
          <w:rFonts w:ascii="Times New Roman" w:hAnsi="Times New Roman" w:cs="Times New Roman"/>
        </w:rPr>
        <w:t xml:space="preserve"> en i) el reporte de las actividades realizadas con un incremento del 71,69%, </w:t>
      </w:r>
      <w:proofErr w:type="spellStart"/>
      <w:r>
        <w:rPr>
          <w:rFonts w:ascii="Times New Roman" w:hAnsi="Times New Roman" w:cs="Times New Roman"/>
        </w:rPr>
        <w:t>ii</w:t>
      </w:r>
      <w:proofErr w:type="spellEnd"/>
      <w:r>
        <w:rPr>
          <w:rFonts w:ascii="Times New Roman" w:hAnsi="Times New Roman" w:cs="Times New Roman"/>
        </w:rPr>
        <w:t xml:space="preserve">) las acciones desarrolladas por la ANSV, </w:t>
      </w:r>
      <w:proofErr w:type="spellStart"/>
      <w:r>
        <w:rPr>
          <w:rFonts w:ascii="Times New Roman" w:hAnsi="Times New Roman" w:cs="Times New Roman"/>
        </w:rPr>
        <w:t>iii</w:t>
      </w:r>
      <w:proofErr w:type="spellEnd"/>
      <w:r>
        <w:rPr>
          <w:rFonts w:ascii="Times New Roman" w:hAnsi="Times New Roman" w:cs="Times New Roman"/>
        </w:rPr>
        <w:t xml:space="preserve">) un incremento del 105% en la cantidad de comparendos impuestos, </w:t>
      </w:r>
      <w:proofErr w:type="spellStart"/>
      <w:r>
        <w:rPr>
          <w:rFonts w:ascii="Times New Roman" w:hAnsi="Times New Roman" w:cs="Times New Roman"/>
        </w:rPr>
        <w:t>iv</w:t>
      </w:r>
      <w:proofErr w:type="spellEnd"/>
      <w:r>
        <w:rPr>
          <w:rFonts w:ascii="Times New Roman" w:hAnsi="Times New Roman" w:cs="Times New Roman"/>
        </w:rPr>
        <w:t>) un incremento del 30,31% de actores informados.</w:t>
      </w:r>
      <w:r>
        <w:rPr>
          <w:rFonts w:ascii="Times New Roman" w:hAnsi="Times New Roman" w:cs="Times New Roman"/>
        </w:rPr>
        <w:t xml:space="preserve"> También, sobre el análisis de cifras, </w:t>
      </w:r>
      <w:r w:rsidR="006D77D7">
        <w:rPr>
          <w:rFonts w:ascii="Times New Roman" w:hAnsi="Times New Roman" w:cs="Times New Roman"/>
        </w:rPr>
        <w:t xml:space="preserve">el Plan Navidad una reducción en el número de víctimas de siniestros viales. </w:t>
      </w:r>
    </w:p>
    <w:p w14:paraId="0AF594CD" w14:textId="5CB31CBB" w:rsidR="00A7244B" w:rsidRDefault="00A7244B" w:rsidP="00A7244B">
      <w:pPr>
        <w:spacing w:line="360" w:lineRule="auto"/>
        <w:jc w:val="both"/>
        <w:rPr>
          <w:rFonts w:ascii="Times New Roman" w:hAnsi="Times New Roman" w:cs="Times New Roman"/>
        </w:rPr>
      </w:pPr>
      <w:r>
        <w:rPr>
          <w:rFonts w:ascii="Times New Roman" w:hAnsi="Times New Roman" w:cs="Times New Roman"/>
        </w:rPr>
        <w:t xml:space="preserve">Esto evidencia que el Plan </w:t>
      </w:r>
      <w:r w:rsidR="006D77D7">
        <w:rPr>
          <w:rFonts w:ascii="Times New Roman" w:hAnsi="Times New Roman" w:cs="Times New Roman"/>
        </w:rPr>
        <w:t>N</w:t>
      </w:r>
      <w:r>
        <w:rPr>
          <w:rFonts w:ascii="Times New Roman" w:hAnsi="Times New Roman" w:cs="Times New Roman"/>
        </w:rPr>
        <w:t xml:space="preserve">avidad para el año 2024 logro </w:t>
      </w:r>
      <w:r>
        <w:rPr>
          <w:rFonts w:ascii="Times New Roman" w:hAnsi="Times New Roman" w:cs="Times New Roman"/>
        </w:rPr>
        <w:t>posesionarse como una importante estrategia del sector transporte, para mitigar las cifras de siniestralidad vial en la temporada decembrina</w:t>
      </w:r>
      <w:r w:rsidR="006D77D7">
        <w:rPr>
          <w:rFonts w:ascii="Times New Roman" w:hAnsi="Times New Roman" w:cs="Times New Roman"/>
        </w:rPr>
        <w:t xml:space="preserve">, al mismo tiempo que, fortalecer la presencia institucional de la ANSV en las ocho regiones del país. </w:t>
      </w:r>
    </w:p>
    <w:p w14:paraId="676936F0" w14:textId="77777777" w:rsidR="003E3F4F" w:rsidRDefault="003E3F4F"/>
    <w:sectPr w:rsidR="003E3F4F" w:rsidSect="00986579">
      <w:footerReference w:type="default" r:id="rId23"/>
      <w:pgSz w:w="12240" w:h="15840"/>
      <w:pgMar w:top="1417" w:right="1701" w:bottom="2127" w:left="1701" w:header="708" w:footer="708" w:gutter="0"/>
      <w:pgBorders w:offsetFrom="page">
        <w:top w:val="single" w:sz="36" w:space="24" w:color="E97132" w:themeColor="accent2"/>
        <w:left w:val="single" w:sz="36" w:space="24" w:color="E97132" w:themeColor="accent2"/>
        <w:bottom w:val="single" w:sz="36" w:space="24" w:color="E97132" w:themeColor="accent2"/>
        <w:right w:val="single" w:sz="36" w:space="24" w:color="E97132" w:themeColor="accent2"/>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04075A" w14:textId="77777777" w:rsidR="00D21CE7" w:rsidRDefault="00D21CE7" w:rsidP="00986579">
      <w:pPr>
        <w:spacing w:after="0" w:line="240" w:lineRule="auto"/>
      </w:pPr>
      <w:r>
        <w:separator/>
      </w:r>
    </w:p>
  </w:endnote>
  <w:endnote w:type="continuationSeparator" w:id="0">
    <w:p w14:paraId="1C385188" w14:textId="77777777" w:rsidR="00D21CE7" w:rsidRDefault="00D21CE7" w:rsidP="00986579">
      <w:pPr>
        <w:spacing w:after="0" w:line="240" w:lineRule="auto"/>
      </w:pPr>
      <w:r>
        <w:continuationSeparator/>
      </w:r>
    </w:p>
  </w:endnote>
  <w:endnote w:type="continuationNotice" w:id="1">
    <w:p w14:paraId="09A592FC" w14:textId="77777777" w:rsidR="00D21CE7" w:rsidRDefault="00D21C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6495E" w14:textId="3E2DACF2" w:rsidR="00986579" w:rsidRDefault="00986579">
    <w:pPr>
      <w:pStyle w:val="Piedepgina"/>
    </w:pPr>
    <w:r>
      <w:rPr>
        <w:noProof/>
        <w:lang w:eastAsia="es-CO"/>
        <w14:ligatures w14:val="none"/>
      </w:rPr>
      <w:drawing>
        <wp:anchor distT="0" distB="0" distL="114300" distR="114300" simplePos="0" relativeHeight="251658240" behindDoc="1" locked="0" layoutInCell="1" allowOverlap="1" wp14:anchorId="795097A7" wp14:editId="46BAB4CA">
          <wp:simplePos x="0" y="0"/>
          <wp:positionH relativeFrom="margin">
            <wp:posOffset>2468446</wp:posOffset>
          </wp:positionH>
          <wp:positionV relativeFrom="paragraph">
            <wp:posOffset>-466002</wp:posOffset>
          </wp:positionV>
          <wp:extent cx="956971" cy="586740"/>
          <wp:effectExtent l="0" t="0" r="0" b="3810"/>
          <wp:wrapNone/>
          <wp:docPr id="1676828953" name="Imagen 167682895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65076" name="Imagen 635465076"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56971" cy="5867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E2454" w14:textId="77777777" w:rsidR="00D21CE7" w:rsidRDefault="00D21CE7" w:rsidP="00986579">
      <w:pPr>
        <w:spacing w:after="0" w:line="240" w:lineRule="auto"/>
      </w:pPr>
      <w:r>
        <w:separator/>
      </w:r>
    </w:p>
  </w:footnote>
  <w:footnote w:type="continuationSeparator" w:id="0">
    <w:p w14:paraId="4760285C" w14:textId="77777777" w:rsidR="00D21CE7" w:rsidRDefault="00D21CE7" w:rsidP="00986579">
      <w:pPr>
        <w:spacing w:after="0" w:line="240" w:lineRule="auto"/>
      </w:pPr>
      <w:r>
        <w:continuationSeparator/>
      </w:r>
    </w:p>
  </w:footnote>
  <w:footnote w:type="continuationNotice" w:id="1">
    <w:p w14:paraId="48CB01CD" w14:textId="77777777" w:rsidR="00D21CE7" w:rsidRDefault="00D21CE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2751"/>
    <w:multiLevelType w:val="hybridMultilevel"/>
    <w:tmpl w:val="2E502924"/>
    <w:lvl w:ilvl="0" w:tplc="D3BEB0D4">
      <w:start w:val="1"/>
      <w:numFmt w:val="lowerLetter"/>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CD1C1B"/>
    <w:multiLevelType w:val="hybridMultilevel"/>
    <w:tmpl w:val="F22E5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A1486F"/>
    <w:multiLevelType w:val="hybridMultilevel"/>
    <w:tmpl w:val="0C5C8E14"/>
    <w:lvl w:ilvl="0" w:tplc="72DA8CC6">
      <w:start w:val="2"/>
      <w:numFmt w:val="bullet"/>
      <w:lvlText w:val="-"/>
      <w:lvlJc w:val="left"/>
      <w:pPr>
        <w:ind w:left="1440" w:hanging="360"/>
      </w:pPr>
      <w:rPr>
        <w:rFonts w:ascii="Aptos" w:eastAsiaTheme="minorHAnsi" w:hAnsi="Aptos" w:cstheme="minorBidi"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1564568C"/>
    <w:multiLevelType w:val="hybridMultilevel"/>
    <w:tmpl w:val="F216C726"/>
    <w:lvl w:ilvl="0" w:tplc="D6C27C66">
      <w:start w:val="3"/>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700075A"/>
    <w:multiLevelType w:val="hybridMultilevel"/>
    <w:tmpl w:val="0EB200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C385081"/>
    <w:multiLevelType w:val="hybridMultilevel"/>
    <w:tmpl w:val="C5A49824"/>
    <w:lvl w:ilvl="0" w:tplc="743E0868">
      <w:start w:val="1"/>
      <w:numFmt w:val="decimal"/>
      <w:lvlText w:val="%1."/>
      <w:lvlJc w:val="left"/>
      <w:pPr>
        <w:ind w:left="400" w:hanging="360"/>
      </w:pPr>
      <w:rPr>
        <w:rFonts w:hint="default"/>
      </w:rPr>
    </w:lvl>
    <w:lvl w:ilvl="1" w:tplc="080A0019" w:tentative="1">
      <w:start w:val="1"/>
      <w:numFmt w:val="lowerLetter"/>
      <w:lvlText w:val="%2."/>
      <w:lvlJc w:val="left"/>
      <w:pPr>
        <w:ind w:left="1120" w:hanging="360"/>
      </w:pPr>
    </w:lvl>
    <w:lvl w:ilvl="2" w:tplc="080A001B" w:tentative="1">
      <w:start w:val="1"/>
      <w:numFmt w:val="lowerRoman"/>
      <w:lvlText w:val="%3."/>
      <w:lvlJc w:val="right"/>
      <w:pPr>
        <w:ind w:left="1840" w:hanging="180"/>
      </w:pPr>
    </w:lvl>
    <w:lvl w:ilvl="3" w:tplc="080A000F" w:tentative="1">
      <w:start w:val="1"/>
      <w:numFmt w:val="decimal"/>
      <w:lvlText w:val="%4."/>
      <w:lvlJc w:val="left"/>
      <w:pPr>
        <w:ind w:left="2560" w:hanging="360"/>
      </w:pPr>
    </w:lvl>
    <w:lvl w:ilvl="4" w:tplc="080A0019" w:tentative="1">
      <w:start w:val="1"/>
      <w:numFmt w:val="lowerLetter"/>
      <w:lvlText w:val="%5."/>
      <w:lvlJc w:val="left"/>
      <w:pPr>
        <w:ind w:left="3280" w:hanging="360"/>
      </w:pPr>
    </w:lvl>
    <w:lvl w:ilvl="5" w:tplc="080A001B" w:tentative="1">
      <w:start w:val="1"/>
      <w:numFmt w:val="lowerRoman"/>
      <w:lvlText w:val="%6."/>
      <w:lvlJc w:val="right"/>
      <w:pPr>
        <w:ind w:left="4000" w:hanging="180"/>
      </w:pPr>
    </w:lvl>
    <w:lvl w:ilvl="6" w:tplc="080A000F" w:tentative="1">
      <w:start w:val="1"/>
      <w:numFmt w:val="decimal"/>
      <w:lvlText w:val="%7."/>
      <w:lvlJc w:val="left"/>
      <w:pPr>
        <w:ind w:left="4720" w:hanging="360"/>
      </w:pPr>
    </w:lvl>
    <w:lvl w:ilvl="7" w:tplc="080A0019" w:tentative="1">
      <w:start w:val="1"/>
      <w:numFmt w:val="lowerLetter"/>
      <w:lvlText w:val="%8."/>
      <w:lvlJc w:val="left"/>
      <w:pPr>
        <w:ind w:left="5440" w:hanging="360"/>
      </w:pPr>
    </w:lvl>
    <w:lvl w:ilvl="8" w:tplc="080A001B" w:tentative="1">
      <w:start w:val="1"/>
      <w:numFmt w:val="lowerRoman"/>
      <w:lvlText w:val="%9."/>
      <w:lvlJc w:val="right"/>
      <w:pPr>
        <w:ind w:left="6160" w:hanging="180"/>
      </w:pPr>
    </w:lvl>
  </w:abstractNum>
  <w:abstractNum w:abstractNumId="6" w15:restartNumberingAfterBreak="0">
    <w:nsid w:val="1FED1020"/>
    <w:multiLevelType w:val="multilevel"/>
    <w:tmpl w:val="A71EA11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13B1FC4"/>
    <w:multiLevelType w:val="hybridMultilevel"/>
    <w:tmpl w:val="30A207B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782E19"/>
    <w:multiLevelType w:val="hybridMultilevel"/>
    <w:tmpl w:val="946C7A2A"/>
    <w:lvl w:ilvl="0" w:tplc="C28AB4F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C66C28"/>
    <w:multiLevelType w:val="hybridMultilevel"/>
    <w:tmpl w:val="39BC53BA"/>
    <w:lvl w:ilvl="0" w:tplc="5A3658E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2E636E4"/>
    <w:multiLevelType w:val="multilevel"/>
    <w:tmpl w:val="F62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856FE"/>
    <w:multiLevelType w:val="hybridMultilevel"/>
    <w:tmpl w:val="452E6DB4"/>
    <w:lvl w:ilvl="0" w:tplc="6B5AF79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5084AD8"/>
    <w:multiLevelType w:val="hybridMultilevel"/>
    <w:tmpl w:val="C48E1344"/>
    <w:lvl w:ilvl="0" w:tplc="9F307EF8">
      <w:start w:val="3"/>
      <w:numFmt w:val="decimal"/>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6E84126"/>
    <w:multiLevelType w:val="hybridMultilevel"/>
    <w:tmpl w:val="FF0C1C5A"/>
    <w:lvl w:ilvl="0" w:tplc="A6023F6E">
      <w:numFmt w:val="bullet"/>
      <w:lvlText w:val="–"/>
      <w:lvlJc w:val="left"/>
      <w:pPr>
        <w:ind w:left="400" w:hanging="360"/>
      </w:pPr>
      <w:rPr>
        <w:rFonts w:ascii="Calibri" w:eastAsiaTheme="minorHAnsi" w:hAnsi="Calibri" w:cs="Calibri" w:hint="default"/>
      </w:rPr>
    </w:lvl>
    <w:lvl w:ilvl="1" w:tplc="FFFFFFFF" w:tentative="1">
      <w:start w:val="1"/>
      <w:numFmt w:val="lowerLetter"/>
      <w:lvlText w:val="%2."/>
      <w:lvlJc w:val="left"/>
      <w:pPr>
        <w:ind w:left="1120" w:hanging="360"/>
      </w:pPr>
    </w:lvl>
    <w:lvl w:ilvl="2" w:tplc="FFFFFFFF" w:tentative="1">
      <w:start w:val="1"/>
      <w:numFmt w:val="lowerRoman"/>
      <w:lvlText w:val="%3."/>
      <w:lvlJc w:val="right"/>
      <w:pPr>
        <w:ind w:left="1840" w:hanging="180"/>
      </w:pPr>
    </w:lvl>
    <w:lvl w:ilvl="3" w:tplc="FFFFFFFF" w:tentative="1">
      <w:start w:val="1"/>
      <w:numFmt w:val="decimal"/>
      <w:lvlText w:val="%4."/>
      <w:lvlJc w:val="left"/>
      <w:pPr>
        <w:ind w:left="2560" w:hanging="360"/>
      </w:pPr>
    </w:lvl>
    <w:lvl w:ilvl="4" w:tplc="FFFFFFFF" w:tentative="1">
      <w:start w:val="1"/>
      <w:numFmt w:val="lowerLetter"/>
      <w:lvlText w:val="%5."/>
      <w:lvlJc w:val="left"/>
      <w:pPr>
        <w:ind w:left="3280" w:hanging="360"/>
      </w:pPr>
    </w:lvl>
    <w:lvl w:ilvl="5" w:tplc="FFFFFFFF" w:tentative="1">
      <w:start w:val="1"/>
      <w:numFmt w:val="lowerRoman"/>
      <w:lvlText w:val="%6."/>
      <w:lvlJc w:val="right"/>
      <w:pPr>
        <w:ind w:left="4000" w:hanging="180"/>
      </w:pPr>
    </w:lvl>
    <w:lvl w:ilvl="6" w:tplc="FFFFFFFF" w:tentative="1">
      <w:start w:val="1"/>
      <w:numFmt w:val="decimal"/>
      <w:lvlText w:val="%7."/>
      <w:lvlJc w:val="left"/>
      <w:pPr>
        <w:ind w:left="4720" w:hanging="360"/>
      </w:pPr>
    </w:lvl>
    <w:lvl w:ilvl="7" w:tplc="FFFFFFFF" w:tentative="1">
      <w:start w:val="1"/>
      <w:numFmt w:val="lowerLetter"/>
      <w:lvlText w:val="%8."/>
      <w:lvlJc w:val="left"/>
      <w:pPr>
        <w:ind w:left="5440" w:hanging="360"/>
      </w:pPr>
    </w:lvl>
    <w:lvl w:ilvl="8" w:tplc="FFFFFFFF" w:tentative="1">
      <w:start w:val="1"/>
      <w:numFmt w:val="lowerRoman"/>
      <w:lvlText w:val="%9."/>
      <w:lvlJc w:val="right"/>
      <w:pPr>
        <w:ind w:left="6160" w:hanging="180"/>
      </w:pPr>
    </w:lvl>
  </w:abstractNum>
  <w:abstractNum w:abstractNumId="14" w15:restartNumberingAfterBreak="0">
    <w:nsid w:val="67382310"/>
    <w:multiLevelType w:val="multilevel"/>
    <w:tmpl w:val="4C78FAC8"/>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6E906557"/>
    <w:multiLevelType w:val="multilevel"/>
    <w:tmpl w:val="1840B9F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EAD236D"/>
    <w:multiLevelType w:val="multilevel"/>
    <w:tmpl w:val="34CA8C5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90094783">
    <w:abstractNumId w:val="1"/>
  </w:num>
  <w:num w:numId="2" w16cid:durableId="884870196">
    <w:abstractNumId w:val="4"/>
  </w:num>
  <w:num w:numId="3" w16cid:durableId="1143355048">
    <w:abstractNumId w:val="2"/>
  </w:num>
  <w:num w:numId="4" w16cid:durableId="974020879">
    <w:abstractNumId w:val="5"/>
  </w:num>
  <w:num w:numId="5" w16cid:durableId="2084985808">
    <w:abstractNumId w:val="13"/>
  </w:num>
  <w:num w:numId="6" w16cid:durableId="1825244962">
    <w:abstractNumId w:val="3"/>
  </w:num>
  <w:num w:numId="7" w16cid:durableId="304551452">
    <w:abstractNumId w:val="8"/>
  </w:num>
  <w:num w:numId="8" w16cid:durableId="1846046869">
    <w:abstractNumId w:val="11"/>
  </w:num>
  <w:num w:numId="9" w16cid:durableId="736904119">
    <w:abstractNumId w:val="10"/>
  </w:num>
  <w:num w:numId="10" w16cid:durableId="1719627239">
    <w:abstractNumId w:val="15"/>
  </w:num>
  <w:num w:numId="11" w16cid:durableId="2102211591">
    <w:abstractNumId w:val="12"/>
  </w:num>
  <w:num w:numId="12" w16cid:durableId="982589183">
    <w:abstractNumId w:val="9"/>
  </w:num>
  <w:num w:numId="13" w16cid:durableId="1195197004">
    <w:abstractNumId w:val="7"/>
  </w:num>
  <w:num w:numId="14" w16cid:durableId="90784893">
    <w:abstractNumId w:val="16"/>
  </w:num>
  <w:num w:numId="15" w16cid:durableId="938373557">
    <w:abstractNumId w:val="6"/>
  </w:num>
  <w:num w:numId="16" w16cid:durableId="627470401">
    <w:abstractNumId w:val="0"/>
  </w:num>
  <w:num w:numId="17" w16cid:durableId="17243322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579"/>
    <w:rsid w:val="000014D8"/>
    <w:rsid w:val="00013346"/>
    <w:rsid w:val="000153BA"/>
    <w:rsid w:val="00072FAB"/>
    <w:rsid w:val="00075E0E"/>
    <w:rsid w:val="00084F16"/>
    <w:rsid w:val="000A46DA"/>
    <w:rsid w:val="000C7B08"/>
    <w:rsid w:val="000D3167"/>
    <w:rsid w:val="000E0FCE"/>
    <w:rsid w:val="000E753E"/>
    <w:rsid w:val="00124256"/>
    <w:rsid w:val="00142456"/>
    <w:rsid w:val="00142FF2"/>
    <w:rsid w:val="001435B0"/>
    <w:rsid w:val="00147C2B"/>
    <w:rsid w:val="0015162D"/>
    <w:rsid w:val="00157A38"/>
    <w:rsid w:val="00166A25"/>
    <w:rsid w:val="00171961"/>
    <w:rsid w:val="00171FF3"/>
    <w:rsid w:val="00175B3D"/>
    <w:rsid w:val="001800B6"/>
    <w:rsid w:val="00180C9A"/>
    <w:rsid w:val="001842F4"/>
    <w:rsid w:val="00184DB1"/>
    <w:rsid w:val="00191E8C"/>
    <w:rsid w:val="001A24AA"/>
    <w:rsid w:val="001A40A3"/>
    <w:rsid w:val="001B72AA"/>
    <w:rsid w:val="001C1487"/>
    <w:rsid w:val="001D472B"/>
    <w:rsid w:val="001D5133"/>
    <w:rsid w:val="001E57D9"/>
    <w:rsid w:val="0020066D"/>
    <w:rsid w:val="00204689"/>
    <w:rsid w:val="00205B5D"/>
    <w:rsid w:val="00215374"/>
    <w:rsid w:val="00240A17"/>
    <w:rsid w:val="00250C9C"/>
    <w:rsid w:val="002605FB"/>
    <w:rsid w:val="00266775"/>
    <w:rsid w:val="0027148B"/>
    <w:rsid w:val="002718EA"/>
    <w:rsid w:val="0028186A"/>
    <w:rsid w:val="00284E09"/>
    <w:rsid w:val="0028567D"/>
    <w:rsid w:val="00293BA5"/>
    <w:rsid w:val="002960B3"/>
    <w:rsid w:val="002A3718"/>
    <w:rsid w:val="002A657B"/>
    <w:rsid w:val="002A73FA"/>
    <w:rsid w:val="002D4B3F"/>
    <w:rsid w:val="002E16E3"/>
    <w:rsid w:val="002E18B2"/>
    <w:rsid w:val="002E7D8D"/>
    <w:rsid w:val="002F60A8"/>
    <w:rsid w:val="00306147"/>
    <w:rsid w:val="0030777A"/>
    <w:rsid w:val="00310D0E"/>
    <w:rsid w:val="0031181C"/>
    <w:rsid w:val="0031675F"/>
    <w:rsid w:val="0032426D"/>
    <w:rsid w:val="003251DF"/>
    <w:rsid w:val="00332449"/>
    <w:rsid w:val="003431BD"/>
    <w:rsid w:val="003460D7"/>
    <w:rsid w:val="00346EF4"/>
    <w:rsid w:val="00350898"/>
    <w:rsid w:val="00351454"/>
    <w:rsid w:val="003564C0"/>
    <w:rsid w:val="0035661C"/>
    <w:rsid w:val="00384213"/>
    <w:rsid w:val="00386008"/>
    <w:rsid w:val="00394EB1"/>
    <w:rsid w:val="00396054"/>
    <w:rsid w:val="003A2B69"/>
    <w:rsid w:val="003A3126"/>
    <w:rsid w:val="003C2990"/>
    <w:rsid w:val="003C3AED"/>
    <w:rsid w:val="003E3F4F"/>
    <w:rsid w:val="003E654E"/>
    <w:rsid w:val="003F45D8"/>
    <w:rsid w:val="003F7250"/>
    <w:rsid w:val="004144D2"/>
    <w:rsid w:val="004206AC"/>
    <w:rsid w:val="00421325"/>
    <w:rsid w:val="004366F9"/>
    <w:rsid w:val="00444032"/>
    <w:rsid w:val="00447073"/>
    <w:rsid w:val="00462E85"/>
    <w:rsid w:val="004633EE"/>
    <w:rsid w:val="00470894"/>
    <w:rsid w:val="00473BE2"/>
    <w:rsid w:val="00475086"/>
    <w:rsid w:val="00483249"/>
    <w:rsid w:val="00491381"/>
    <w:rsid w:val="0049164D"/>
    <w:rsid w:val="0049572F"/>
    <w:rsid w:val="004A169A"/>
    <w:rsid w:val="004B0877"/>
    <w:rsid w:val="004B44C2"/>
    <w:rsid w:val="004C40C3"/>
    <w:rsid w:val="004C5E39"/>
    <w:rsid w:val="004E33ED"/>
    <w:rsid w:val="004F0089"/>
    <w:rsid w:val="004F1323"/>
    <w:rsid w:val="004F7E3C"/>
    <w:rsid w:val="005011E9"/>
    <w:rsid w:val="00523FBA"/>
    <w:rsid w:val="0053115F"/>
    <w:rsid w:val="00544F69"/>
    <w:rsid w:val="0055023A"/>
    <w:rsid w:val="0056596F"/>
    <w:rsid w:val="00571665"/>
    <w:rsid w:val="0057753A"/>
    <w:rsid w:val="00583FAA"/>
    <w:rsid w:val="005958AA"/>
    <w:rsid w:val="00596865"/>
    <w:rsid w:val="005A34CC"/>
    <w:rsid w:val="005C235C"/>
    <w:rsid w:val="005D3E1E"/>
    <w:rsid w:val="005F4F69"/>
    <w:rsid w:val="00610A53"/>
    <w:rsid w:val="0061327F"/>
    <w:rsid w:val="00616DEB"/>
    <w:rsid w:val="00641A42"/>
    <w:rsid w:val="006659E6"/>
    <w:rsid w:val="006826F6"/>
    <w:rsid w:val="00683044"/>
    <w:rsid w:val="006B2B6E"/>
    <w:rsid w:val="006B71E0"/>
    <w:rsid w:val="006C33EB"/>
    <w:rsid w:val="006D77D7"/>
    <w:rsid w:val="006F52DC"/>
    <w:rsid w:val="006F5C65"/>
    <w:rsid w:val="00704838"/>
    <w:rsid w:val="00733959"/>
    <w:rsid w:val="00734E08"/>
    <w:rsid w:val="007356A7"/>
    <w:rsid w:val="0073577B"/>
    <w:rsid w:val="0075452D"/>
    <w:rsid w:val="0076061A"/>
    <w:rsid w:val="00760A81"/>
    <w:rsid w:val="00764478"/>
    <w:rsid w:val="00764E62"/>
    <w:rsid w:val="00766F89"/>
    <w:rsid w:val="00773EE8"/>
    <w:rsid w:val="00776C03"/>
    <w:rsid w:val="00783455"/>
    <w:rsid w:val="00792384"/>
    <w:rsid w:val="00793F8F"/>
    <w:rsid w:val="007A01F8"/>
    <w:rsid w:val="007A76CE"/>
    <w:rsid w:val="007B211C"/>
    <w:rsid w:val="007C56A9"/>
    <w:rsid w:val="007D062B"/>
    <w:rsid w:val="007E424A"/>
    <w:rsid w:val="00803256"/>
    <w:rsid w:val="00807D75"/>
    <w:rsid w:val="00810AC7"/>
    <w:rsid w:val="00813FA5"/>
    <w:rsid w:val="00820703"/>
    <w:rsid w:val="00831589"/>
    <w:rsid w:val="00836668"/>
    <w:rsid w:val="008417C5"/>
    <w:rsid w:val="008438F3"/>
    <w:rsid w:val="0086015A"/>
    <w:rsid w:val="00867E4E"/>
    <w:rsid w:val="0087435D"/>
    <w:rsid w:val="00875826"/>
    <w:rsid w:val="0088335E"/>
    <w:rsid w:val="008938F0"/>
    <w:rsid w:val="008A04F7"/>
    <w:rsid w:val="008A124D"/>
    <w:rsid w:val="008A72E9"/>
    <w:rsid w:val="008B628D"/>
    <w:rsid w:val="008C7633"/>
    <w:rsid w:val="008F0180"/>
    <w:rsid w:val="00907BD1"/>
    <w:rsid w:val="009247A5"/>
    <w:rsid w:val="00925732"/>
    <w:rsid w:val="009542D4"/>
    <w:rsid w:val="009555EE"/>
    <w:rsid w:val="009723D5"/>
    <w:rsid w:val="0098308A"/>
    <w:rsid w:val="00984DC9"/>
    <w:rsid w:val="00986579"/>
    <w:rsid w:val="0099336F"/>
    <w:rsid w:val="009A5E17"/>
    <w:rsid w:val="009B1169"/>
    <w:rsid w:val="009C172B"/>
    <w:rsid w:val="009C7D7D"/>
    <w:rsid w:val="009E5786"/>
    <w:rsid w:val="00A008DB"/>
    <w:rsid w:val="00A10297"/>
    <w:rsid w:val="00A34E8D"/>
    <w:rsid w:val="00A44881"/>
    <w:rsid w:val="00A50522"/>
    <w:rsid w:val="00A5262A"/>
    <w:rsid w:val="00A56DC5"/>
    <w:rsid w:val="00A57B9D"/>
    <w:rsid w:val="00A7244B"/>
    <w:rsid w:val="00A730F3"/>
    <w:rsid w:val="00A83336"/>
    <w:rsid w:val="00A927B5"/>
    <w:rsid w:val="00A97A82"/>
    <w:rsid w:val="00AA26F6"/>
    <w:rsid w:val="00AA5E15"/>
    <w:rsid w:val="00AA6AED"/>
    <w:rsid w:val="00AB7030"/>
    <w:rsid w:val="00AD3585"/>
    <w:rsid w:val="00AD3FFE"/>
    <w:rsid w:val="00B03B5A"/>
    <w:rsid w:val="00B12416"/>
    <w:rsid w:val="00B20C03"/>
    <w:rsid w:val="00B214DD"/>
    <w:rsid w:val="00B411CF"/>
    <w:rsid w:val="00B46C3B"/>
    <w:rsid w:val="00B56FD0"/>
    <w:rsid w:val="00B701DC"/>
    <w:rsid w:val="00B8371B"/>
    <w:rsid w:val="00B97346"/>
    <w:rsid w:val="00BA0AAC"/>
    <w:rsid w:val="00BB0658"/>
    <w:rsid w:val="00BB0D2C"/>
    <w:rsid w:val="00BC4A36"/>
    <w:rsid w:val="00BC6032"/>
    <w:rsid w:val="00BD1F39"/>
    <w:rsid w:val="00C06F18"/>
    <w:rsid w:val="00C2419B"/>
    <w:rsid w:val="00C261E5"/>
    <w:rsid w:val="00C32851"/>
    <w:rsid w:val="00C33948"/>
    <w:rsid w:val="00C36DA9"/>
    <w:rsid w:val="00C44198"/>
    <w:rsid w:val="00C57725"/>
    <w:rsid w:val="00CB5B4D"/>
    <w:rsid w:val="00CD1B95"/>
    <w:rsid w:val="00CD5824"/>
    <w:rsid w:val="00CD6C92"/>
    <w:rsid w:val="00CF545C"/>
    <w:rsid w:val="00D046FC"/>
    <w:rsid w:val="00D06911"/>
    <w:rsid w:val="00D118C6"/>
    <w:rsid w:val="00D11F4B"/>
    <w:rsid w:val="00D14050"/>
    <w:rsid w:val="00D21CE7"/>
    <w:rsid w:val="00D238AA"/>
    <w:rsid w:val="00D2646A"/>
    <w:rsid w:val="00D26ED9"/>
    <w:rsid w:val="00D33F75"/>
    <w:rsid w:val="00D46CF8"/>
    <w:rsid w:val="00D514CE"/>
    <w:rsid w:val="00D51FDB"/>
    <w:rsid w:val="00D602AB"/>
    <w:rsid w:val="00D60351"/>
    <w:rsid w:val="00D81A5F"/>
    <w:rsid w:val="00D935D1"/>
    <w:rsid w:val="00DA18D4"/>
    <w:rsid w:val="00DB1B76"/>
    <w:rsid w:val="00DD4058"/>
    <w:rsid w:val="00DE058E"/>
    <w:rsid w:val="00DE4177"/>
    <w:rsid w:val="00DF20A3"/>
    <w:rsid w:val="00E01C34"/>
    <w:rsid w:val="00E10634"/>
    <w:rsid w:val="00E30E0F"/>
    <w:rsid w:val="00E43213"/>
    <w:rsid w:val="00E642F5"/>
    <w:rsid w:val="00E87D41"/>
    <w:rsid w:val="00EA1765"/>
    <w:rsid w:val="00EA2218"/>
    <w:rsid w:val="00EA2F0F"/>
    <w:rsid w:val="00EB0EA2"/>
    <w:rsid w:val="00EB2E47"/>
    <w:rsid w:val="00EC3EB7"/>
    <w:rsid w:val="00EC60BC"/>
    <w:rsid w:val="00EC65D0"/>
    <w:rsid w:val="00EC6E69"/>
    <w:rsid w:val="00ED2F43"/>
    <w:rsid w:val="00EF59D0"/>
    <w:rsid w:val="00EF63C4"/>
    <w:rsid w:val="00F024CD"/>
    <w:rsid w:val="00F0445E"/>
    <w:rsid w:val="00F11036"/>
    <w:rsid w:val="00F13DC8"/>
    <w:rsid w:val="00F15B6C"/>
    <w:rsid w:val="00F278CE"/>
    <w:rsid w:val="00F46E9D"/>
    <w:rsid w:val="00F503D8"/>
    <w:rsid w:val="00F54E75"/>
    <w:rsid w:val="00F54F92"/>
    <w:rsid w:val="00F61741"/>
    <w:rsid w:val="00F831C3"/>
    <w:rsid w:val="00F93FC0"/>
    <w:rsid w:val="00FA099F"/>
    <w:rsid w:val="00FA5169"/>
    <w:rsid w:val="00FB5F94"/>
    <w:rsid w:val="00FC0DDB"/>
    <w:rsid w:val="00FC435E"/>
    <w:rsid w:val="00FE2467"/>
    <w:rsid w:val="00FE72FA"/>
    <w:rsid w:val="00FF6528"/>
    <w:rsid w:val="08938DCE"/>
    <w:rsid w:val="08BB9A3E"/>
    <w:rsid w:val="08F8F0B1"/>
    <w:rsid w:val="0F70770F"/>
    <w:rsid w:val="15A4E81E"/>
    <w:rsid w:val="19C612D2"/>
    <w:rsid w:val="1AA71125"/>
    <w:rsid w:val="1B1D67B6"/>
    <w:rsid w:val="1C5FE957"/>
    <w:rsid w:val="22DD2BD6"/>
    <w:rsid w:val="2BEDCF6E"/>
    <w:rsid w:val="48161136"/>
    <w:rsid w:val="4B27C24F"/>
    <w:rsid w:val="4C2B9BA6"/>
    <w:rsid w:val="5E3B9999"/>
    <w:rsid w:val="62D9B0E3"/>
    <w:rsid w:val="6A83052A"/>
    <w:rsid w:val="6C0EEB9F"/>
    <w:rsid w:val="6F020999"/>
    <w:rsid w:val="7AAE2F32"/>
    <w:rsid w:val="7C662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F2194"/>
  <w15:chartTrackingRefBased/>
  <w15:docId w15:val="{24B7D5CC-BB96-4B5E-8113-56E7187F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898"/>
    <w:rPr>
      <w:lang w:val="es-CO"/>
    </w:rPr>
  </w:style>
  <w:style w:type="paragraph" w:styleId="Ttulo1">
    <w:name w:val="heading 1"/>
    <w:basedOn w:val="Normal"/>
    <w:next w:val="Normal"/>
    <w:link w:val="Ttulo1Car"/>
    <w:uiPriority w:val="9"/>
    <w:qFormat/>
    <w:rsid w:val="00986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6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65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65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65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65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65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65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65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579"/>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986579"/>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986579"/>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986579"/>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986579"/>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986579"/>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986579"/>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986579"/>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986579"/>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986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579"/>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9865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6579"/>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986579"/>
    <w:pPr>
      <w:spacing w:before="160"/>
      <w:jc w:val="center"/>
    </w:pPr>
    <w:rPr>
      <w:i/>
      <w:iCs/>
      <w:color w:val="404040" w:themeColor="text1" w:themeTint="BF"/>
    </w:rPr>
  </w:style>
  <w:style w:type="character" w:customStyle="1" w:styleId="CitaCar">
    <w:name w:val="Cita Car"/>
    <w:basedOn w:val="Fuentedeprrafopredeter"/>
    <w:link w:val="Cita"/>
    <w:uiPriority w:val="29"/>
    <w:rsid w:val="00986579"/>
    <w:rPr>
      <w:i/>
      <w:iCs/>
      <w:color w:val="404040" w:themeColor="text1" w:themeTint="BF"/>
      <w:lang w:val="es-CO"/>
    </w:rPr>
  </w:style>
  <w:style w:type="paragraph" w:styleId="Prrafodelista">
    <w:name w:val="List Paragraph"/>
    <w:basedOn w:val="Normal"/>
    <w:uiPriority w:val="34"/>
    <w:qFormat/>
    <w:rsid w:val="00986579"/>
    <w:pPr>
      <w:ind w:left="720"/>
      <w:contextualSpacing/>
    </w:pPr>
  </w:style>
  <w:style w:type="character" w:styleId="nfasisintenso">
    <w:name w:val="Intense Emphasis"/>
    <w:basedOn w:val="Fuentedeprrafopredeter"/>
    <w:uiPriority w:val="21"/>
    <w:qFormat/>
    <w:rsid w:val="00986579"/>
    <w:rPr>
      <w:i/>
      <w:iCs/>
      <w:color w:val="0F4761" w:themeColor="accent1" w:themeShade="BF"/>
    </w:rPr>
  </w:style>
  <w:style w:type="paragraph" w:styleId="Citadestacada">
    <w:name w:val="Intense Quote"/>
    <w:basedOn w:val="Normal"/>
    <w:next w:val="Normal"/>
    <w:link w:val="CitadestacadaCar"/>
    <w:uiPriority w:val="30"/>
    <w:qFormat/>
    <w:rsid w:val="00986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6579"/>
    <w:rPr>
      <w:i/>
      <w:iCs/>
      <w:color w:val="0F4761" w:themeColor="accent1" w:themeShade="BF"/>
      <w:lang w:val="es-CO"/>
    </w:rPr>
  </w:style>
  <w:style w:type="character" w:styleId="Referenciaintensa">
    <w:name w:val="Intense Reference"/>
    <w:basedOn w:val="Fuentedeprrafopredeter"/>
    <w:uiPriority w:val="32"/>
    <w:qFormat/>
    <w:rsid w:val="00986579"/>
    <w:rPr>
      <w:b/>
      <w:bCs/>
      <w:smallCaps/>
      <w:color w:val="0F4761" w:themeColor="accent1" w:themeShade="BF"/>
      <w:spacing w:val="5"/>
    </w:rPr>
  </w:style>
  <w:style w:type="paragraph" w:styleId="Encabezado">
    <w:name w:val="header"/>
    <w:basedOn w:val="Normal"/>
    <w:link w:val="EncabezadoCar"/>
    <w:uiPriority w:val="99"/>
    <w:unhideWhenUsed/>
    <w:rsid w:val="009865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6579"/>
    <w:rPr>
      <w:lang w:val="es-CO"/>
    </w:rPr>
  </w:style>
  <w:style w:type="paragraph" w:styleId="Piedepgina">
    <w:name w:val="footer"/>
    <w:basedOn w:val="Normal"/>
    <w:link w:val="PiedepginaCar"/>
    <w:uiPriority w:val="99"/>
    <w:unhideWhenUsed/>
    <w:rsid w:val="009865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6579"/>
    <w:rPr>
      <w:lang w:val="es-CO"/>
    </w:rPr>
  </w:style>
  <w:style w:type="paragraph" w:styleId="NormalWeb">
    <w:name w:val="Normal (Web)"/>
    <w:basedOn w:val="Normal"/>
    <w:uiPriority w:val="99"/>
    <w:unhideWhenUsed/>
    <w:rsid w:val="00D81A5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43228">
      <w:bodyDiv w:val="1"/>
      <w:marLeft w:val="0"/>
      <w:marRight w:val="0"/>
      <w:marTop w:val="0"/>
      <w:marBottom w:val="0"/>
      <w:divBdr>
        <w:top w:val="none" w:sz="0" w:space="0" w:color="auto"/>
        <w:left w:val="none" w:sz="0" w:space="0" w:color="auto"/>
        <w:bottom w:val="none" w:sz="0" w:space="0" w:color="auto"/>
        <w:right w:val="none" w:sz="0" w:space="0" w:color="auto"/>
      </w:divBdr>
      <w:divsChild>
        <w:div w:id="2018117179">
          <w:marLeft w:val="0"/>
          <w:marRight w:val="0"/>
          <w:marTop w:val="0"/>
          <w:marBottom w:val="0"/>
          <w:divBdr>
            <w:top w:val="none" w:sz="0" w:space="0" w:color="auto"/>
            <w:left w:val="none" w:sz="0" w:space="0" w:color="auto"/>
            <w:bottom w:val="none" w:sz="0" w:space="0" w:color="auto"/>
            <w:right w:val="none" w:sz="0" w:space="0" w:color="auto"/>
          </w:divBdr>
        </w:div>
      </w:divsChild>
    </w:div>
    <w:div w:id="576789528">
      <w:bodyDiv w:val="1"/>
      <w:marLeft w:val="0"/>
      <w:marRight w:val="0"/>
      <w:marTop w:val="0"/>
      <w:marBottom w:val="0"/>
      <w:divBdr>
        <w:top w:val="none" w:sz="0" w:space="0" w:color="auto"/>
        <w:left w:val="none" w:sz="0" w:space="0" w:color="auto"/>
        <w:bottom w:val="none" w:sz="0" w:space="0" w:color="auto"/>
        <w:right w:val="none" w:sz="0" w:space="0" w:color="auto"/>
      </w:divBdr>
      <w:divsChild>
        <w:div w:id="1412509073">
          <w:marLeft w:val="0"/>
          <w:marRight w:val="0"/>
          <w:marTop w:val="0"/>
          <w:marBottom w:val="0"/>
          <w:divBdr>
            <w:top w:val="none" w:sz="0" w:space="0" w:color="auto"/>
            <w:left w:val="none" w:sz="0" w:space="0" w:color="auto"/>
            <w:bottom w:val="none" w:sz="0" w:space="0" w:color="auto"/>
            <w:right w:val="none" w:sz="0" w:space="0" w:color="auto"/>
          </w:divBdr>
        </w:div>
      </w:divsChild>
    </w:div>
    <w:div w:id="590236856">
      <w:bodyDiv w:val="1"/>
      <w:marLeft w:val="0"/>
      <w:marRight w:val="0"/>
      <w:marTop w:val="0"/>
      <w:marBottom w:val="0"/>
      <w:divBdr>
        <w:top w:val="none" w:sz="0" w:space="0" w:color="auto"/>
        <w:left w:val="none" w:sz="0" w:space="0" w:color="auto"/>
        <w:bottom w:val="none" w:sz="0" w:space="0" w:color="auto"/>
        <w:right w:val="none" w:sz="0" w:space="0" w:color="auto"/>
      </w:divBdr>
    </w:div>
    <w:div w:id="1312252099">
      <w:bodyDiv w:val="1"/>
      <w:marLeft w:val="0"/>
      <w:marRight w:val="0"/>
      <w:marTop w:val="0"/>
      <w:marBottom w:val="0"/>
      <w:divBdr>
        <w:top w:val="none" w:sz="0" w:space="0" w:color="auto"/>
        <w:left w:val="none" w:sz="0" w:space="0" w:color="auto"/>
        <w:bottom w:val="none" w:sz="0" w:space="0" w:color="auto"/>
        <w:right w:val="none" w:sz="0" w:space="0" w:color="auto"/>
      </w:divBdr>
    </w:div>
    <w:div w:id="1372221976">
      <w:bodyDiv w:val="1"/>
      <w:marLeft w:val="0"/>
      <w:marRight w:val="0"/>
      <w:marTop w:val="0"/>
      <w:marBottom w:val="0"/>
      <w:divBdr>
        <w:top w:val="none" w:sz="0" w:space="0" w:color="auto"/>
        <w:left w:val="none" w:sz="0" w:space="0" w:color="auto"/>
        <w:bottom w:val="none" w:sz="0" w:space="0" w:color="auto"/>
        <w:right w:val="none" w:sz="0" w:space="0" w:color="auto"/>
      </w:divBdr>
    </w:div>
    <w:div w:id="146469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hart" Target="charts/chart5.xml"/><Relationship Id="rId3" Type="http://schemas.openxmlformats.org/officeDocument/2006/relationships/settings" Target="settings.xml"/><Relationship Id="rId21" Type="http://schemas.openxmlformats.org/officeDocument/2006/relationships/chart" Target="charts/chart8.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chart" Target="charts/chart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chart" Target="charts/chart9.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20comp%20202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20comp%20202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20comp%20202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20comp%20202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ansv-my.sharepoint.com/personal/leonardo_mayorga_ansv_gov_co/Documents/Documentos/PA-465-2024/70D/Graficas%20comp%202023.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D.Acciones!$BA$1</c:f>
              <c:strCache>
                <c:ptCount val="1"/>
                <c:pt idx="0">
                  <c:v>Acciones</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D.Acciones!$BA$2:$BA$12</c:f>
              <c:numCache>
                <c:formatCode>#,##0</c:formatCode>
                <c:ptCount val="11"/>
                <c:pt idx="0">
                  <c:v>339</c:v>
                </c:pt>
                <c:pt idx="1">
                  <c:v>603</c:v>
                </c:pt>
                <c:pt idx="2">
                  <c:v>633</c:v>
                </c:pt>
                <c:pt idx="3">
                  <c:v>607</c:v>
                </c:pt>
                <c:pt idx="4">
                  <c:v>603</c:v>
                </c:pt>
                <c:pt idx="5">
                  <c:v>769</c:v>
                </c:pt>
                <c:pt idx="6">
                  <c:v>708</c:v>
                </c:pt>
                <c:pt idx="7">
                  <c:v>550</c:v>
                </c:pt>
                <c:pt idx="8">
                  <c:v>569</c:v>
                </c:pt>
                <c:pt idx="9">
                  <c:v>432</c:v>
                </c:pt>
                <c:pt idx="10">
                  <c:v>351</c:v>
                </c:pt>
              </c:numCache>
            </c:numRef>
          </c:val>
          <c:extLst>
            <c:ext xmlns:c16="http://schemas.microsoft.com/office/drawing/2014/chart" uri="{C3380CC4-5D6E-409C-BE32-E72D297353CC}">
              <c16:uniqueId val="{00000000-B605-8C47-BD5F-5183CD10DB79}"/>
            </c:ext>
          </c:extLst>
        </c:ser>
        <c:dLbls>
          <c:dLblPos val="inEnd"/>
          <c:showLegendKey val="0"/>
          <c:showVal val="1"/>
          <c:showCatName val="0"/>
          <c:showSerName val="0"/>
          <c:showPercent val="0"/>
          <c:showBubbleSize val="0"/>
        </c:dLbls>
        <c:gapWidth val="100"/>
        <c:overlap val="-24"/>
        <c:axId val="326669656"/>
        <c:axId val="326667304"/>
      </c:barChart>
      <c:catAx>
        <c:axId val="3266696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67304"/>
        <c:crosses val="autoZero"/>
        <c:auto val="1"/>
        <c:lblAlgn val="ctr"/>
        <c:lblOffset val="100"/>
        <c:noMultiLvlLbl val="0"/>
      </c:catAx>
      <c:valAx>
        <c:axId val="32666730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32666965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pivotSource>
    <c:name>[Graficas.xlsx]D.Acciones!TablaDinámica5</c:name>
    <c:fmtId val="-1"/>
  </c:pivotSource>
  <c:chart>
    <c:autoTitleDeleted val="1"/>
    <c:pivotFmts>
      <c:pivotFmt>
        <c:idx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circle"/>
          <c:size val="4"/>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50000"/>
                      <a:lumOff val="50000"/>
                    </a:schemeClr>
                  </a:solidFill>
                  <a:latin typeface="+mn-lt"/>
                  <a:ea typeface="+mn-ea"/>
                  <a:cs typeface="+mn-cs"/>
                </a:defRPr>
              </a:pPr>
              <a:endParaRPr lang="es-CO"/>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50000"/>
                      <a:lumOff val="50000"/>
                    </a:schemeClr>
                  </a:solidFill>
                  <a:latin typeface="+mn-lt"/>
                  <a:ea typeface="+mn-ea"/>
                  <a:cs typeface="+mn-cs"/>
                </a:defRPr>
              </a:pPr>
              <a:endParaRPr lang="es-CO"/>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50000"/>
                      <a:lumOff val="50000"/>
                    </a:schemeClr>
                  </a:solidFill>
                  <a:latin typeface="+mn-lt"/>
                  <a:ea typeface="+mn-ea"/>
                  <a:cs typeface="+mn-cs"/>
                </a:defRPr>
              </a:pPr>
              <a:endParaRPr lang="es-CO"/>
            </a:p>
          </c:txPr>
          <c:dLblPos val="inBase"/>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D.Acciones!$M$14</c:f>
              <c:strCache>
                <c:ptCount val="1"/>
                <c:pt idx="0">
                  <c:v>T_registros</c:v>
                </c:pt>
              </c:strCache>
            </c:strRef>
          </c:tx>
          <c:spPr>
            <a:gradFill rotWithShape="1">
              <a:gsLst>
                <a:gs pos="0">
                  <a:schemeClr val="accent2">
                    <a:shade val="76000"/>
                    <a:lumMod val="110000"/>
                    <a:satMod val="105000"/>
                    <a:tint val="67000"/>
                  </a:schemeClr>
                </a:gs>
                <a:gs pos="50000">
                  <a:schemeClr val="accent2">
                    <a:shade val="76000"/>
                    <a:lumMod val="105000"/>
                    <a:satMod val="103000"/>
                    <a:tint val="73000"/>
                  </a:schemeClr>
                </a:gs>
                <a:gs pos="100000">
                  <a:schemeClr val="accent2">
                    <a:shade val="76000"/>
                    <a:lumMod val="105000"/>
                    <a:satMod val="109000"/>
                    <a:tint val="81000"/>
                  </a:schemeClr>
                </a:gs>
              </a:gsLst>
              <a:lin ang="5400000" scaled="0"/>
            </a:gradFill>
            <a:ln w="9525" cap="flat" cmpd="sng" algn="ctr">
              <a:solidFill>
                <a:schemeClr val="accent2">
                  <a:shade val="76000"/>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D.Acciones!$L$15:$L$21</c:f>
              <c:strCache>
                <c:ptCount val="6"/>
                <c:pt idx="0">
                  <c:v>Concesiones</c:v>
                </c:pt>
                <c:pt idx="1">
                  <c:v>Grupo de educación vial</c:v>
                </c:pt>
                <c:pt idx="2">
                  <c:v>Grupo de pedagogia vial</c:v>
                </c:pt>
                <c:pt idx="3">
                  <c:v>Grupo de reguladores viales</c:v>
                </c:pt>
                <c:pt idx="4">
                  <c:v>Organismo de tránsito</c:v>
                </c:pt>
                <c:pt idx="5">
                  <c:v>Otra</c:v>
                </c:pt>
              </c:strCache>
            </c:strRef>
          </c:cat>
          <c:val>
            <c:numRef>
              <c:f>D.Acciones!$M$15:$M$21</c:f>
              <c:numCache>
                <c:formatCode>#,##0</c:formatCode>
                <c:ptCount val="6"/>
                <c:pt idx="0">
                  <c:v>536</c:v>
                </c:pt>
                <c:pt idx="1">
                  <c:v>183</c:v>
                </c:pt>
                <c:pt idx="2">
                  <c:v>16</c:v>
                </c:pt>
                <c:pt idx="3">
                  <c:v>192</c:v>
                </c:pt>
                <c:pt idx="4">
                  <c:v>4618</c:v>
                </c:pt>
                <c:pt idx="5">
                  <c:v>610</c:v>
                </c:pt>
              </c:numCache>
            </c:numRef>
          </c:val>
          <c:extLst>
            <c:ext xmlns:c16="http://schemas.microsoft.com/office/drawing/2014/chart" uri="{C3380CC4-5D6E-409C-BE32-E72D297353CC}">
              <c16:uniqueId val="{00000000-E345-F746-8CA7-1052ADA85E62}"/>
            </c:ext>
          </c:extLst>
        </c:ser>
        <c:ser>
          <c:idx val="1"/>
          <c:order val="1"/>
          <c:tx>
            <c:strRef>
              <c:f>D.Acciones!$N$14</c:f>
              <c:strCache>
                <c:ptCount val="1"/>
                <c:pt idx="0">
                  <c:v>T_registros2</c:v>
                </c:pt>
              </c:strCache>
            </c:strRef>
          </c:tx>
          <c:spPr>
            <a:gradFill rotWithShape="1">
              <a:gsLst>
                <a:gs pos="0">
                  <a:schemeClr val="accent2">
                    <a:tint val="77000"/>
                    <a:lumMod val="110000"/>
                    <a:satMod val="105000"/>
                    <a:tint val="67000"/>
                  </a:schemeClr>
                </a:gs>
                <a:gs pos="50000">
                  <a:schemeClr val="accent2">
                    <a:tint val="77000"/>
                    <a:lumMod val="105000"/>
                    <a:satMod val="103000"/>
                    <a:tint val="73000"/>
                  </a:schemeClr>
                </a:gs>
                <a:gs pos="100000">
                  <a:schemeClr val="accent2">
                    <a:tint val="77000"/>
                    <a:lumMod val="105000"/>
                    <a:satMod val="109000"/>
                    <a:tint val="81000"/>
                  </a:schemeClr>
                </a:gs>
              </a:gsLst>
              <a:lin ang="5400000" scaled="0"/>
            </a:gradFill>
            <a:ln w="9525" cap="flat" cmpd="sng" algn="ctr">
              <a:solidFill>
                <a:schemeClr val="accent2">
                  <a:tint val="77000"/>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D.Acciones!$L$15:$L$21</c:f>
              <c:strCache>
                <c:ptCount val="6"/>
                <c:pt idx="0">
                  <c:v>Concesiones</c:v>
                </c:pt>
                <c:pt idx="1">
                  <c:v>Grupo de educación vial</c:v>
                </c:pt>
                <c:pt idx="2">
                  <c:v>Grupo de pedagogia vial</c:v>
                </c:pt>
                <c:pt idx="3">
                  <c:v>Grupo de reguladores viales</c:v>
                </c:pt>
                <c:pt idx="4">
                  <c:v>Organismo de tránsito</c:v>
                </c:pt>
                <c:pt idx="5">
                  <c:v>Otra</c:v>
                </c:pt>
              </c:strCache>
            </c:strRef>
          </c:cat>
          <c:val>
            <c:numRef>
              <c:f>D.Acciones!$N$15:$N$21</c:f>
              <c:numCache>
                <c:formatCode>0%</c:formatCode>
                <c:ptCount val="6"/>
                <c:pt idx="0">
                  <c:v>8.708367181153534E-2</c:v>
                </c:pt>
                <c:pt idx="1">
                  <c:v>2.9731925264012998E-2</c:v>
                </c:pt>
                <c:pt idx="2">
                  <c:v>2.5995125913891143E-3</c:v>
                </c:pt>
                <c:pt idx="3">
                  <c:v>3.1194151096669374E-2</c:v>
                </c:pt>
                <c:pt idx="4">
                  <c:v>0.75028432168968318</c:v>
                </c:pt>
                <c:pt idx="5">
                  <c:v>9.9106417546709985E-2</c:v>
                </c:pt>
              </c:numCache>
            </c:numRef>
          </c:val>
          <c:extLst>
            <c:ext xmlns:c16="http://schemas.microsoft.com/office/drawing/2014/chart" uri="{C3380CC4-5D6E-409C-BE32-E72D297353CC}">
              <c16:uniqueId val="{00000001-E345-F746-8CA7-1052ADA85E62}"/>
            </c:ext>
          </c:extLst>
        </c:ser>
        <c:dLbls>
          <c:showLegendKey val="0"/>
          <c:showVal val="1"/>
          <c:showCatName val="0"/>
          <c:showSerName val="0"/>
          <c:showPercent val="0"/>
          <c:showBubbleSize val="0"/>
        </c:dLbls>
        <c:gapWidth val="100"/>
        <c:overlap val="100"/>
        <c:axId val="326664952"/>
        <c:axId val="326662208"/>
      </c:barChart>
      <c:catAx>
        <c:axId val="3266649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62208"/>
        <c:crosses val="autoZero"/>
        <c:auto val="1"/>
        <c:lblAlgn val="ctr"/>
        <c:lblOffset val="100"/>
        <c:noMultiLvlLbl val="0"/>
      </c:catAx>
      <c:valAx>
        <c:axId val="326662208"/>
        <c:scaling>
          <c:logBase val="10"/>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3266649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pivotSource>
    <c:name>[Graficas.xlsx]D.Acciones!TablaDinámica6</c:name>
    <c:fmtId val="-1"/>
  </c:pivotSource>
  <c:chart>
    <c:autoTitleDeleted val="1"/>
    <c:pivotFmts>
      <c:pivotFmt>
        <c:idx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circle"/>
          <c:size val="4"/>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CO"/>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CO"/>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CO"/>
            </a:p>
          </c:txPr>
          <c:dLblPos val="inBase"/>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D.Acciones!$M$29</c:f>
              <c:strCache>
                <c:ptCount val="1"/>
                <c:pt idx="0">
                  <c:v>T_registros</c:v>
                </c:pt>
              </c:strCache>
            </c:strRef>
          </c:tx>
          <c:spPr>
            <a:gradFill rotWithShape="1">
              <a:gsLst>
                <a:gs pos="0">
                  <a:schemeClr val="accent2">
                    <a:shade val="76000"/>
                    <a:lumMod val="110000"/>
                    <a:satMod val="105000"/>
                    <a:tint val="67000"/>
                  </a:schemeClr>
                </a:gs>
                <a:gs pos="50000">
                  <a:schemeClr val="accent2">
                    <a:shade val="76000"/>
                    <a:lumMod val="105000"/>
                    <a:satMod val="103000"/>
                    <a:tint val="73000"/>
                  </a:schemeClr>
                </a:gs>
                <a:gs pos="100000">
                  <a:schemeClr val="accent2">
                    <a:shade val="76000"/>
                    <a:lumMod val="105000"/>
                    <a:satMod val="109000"/>
                    <a:tint val="81000"/>
                  </a:schemeClr>
                </a:gs>
              </a:gsLst>
              <a:lin ang="5400000" scaled="0"/>
            </a:gradFill>
            <a:ln w="9525" cap="flat" cmpd="sng" algn="ctr">
              <a:solidFill>
                <a:schemeClr val="accent2">
                  <a:shade val="76000"/>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D.Acciones!$L$30:$L$36</c:f>
              <c:strCache>
                <c:ptCount val="6"/>
                <c:pt idx="0">
                  <c:v>Otras</c:v>
                </c:pt>
                <c:pt idx="1">
                  <c:v>P. Control Embriaguez</c:v>
                </c:pt>
                <c:pt idx="2">
                  <c:v>P. Control General</c:v>
                </c:pt>
                <c:pt idx="3">
                  <c:v>P. control SRL</c:v>
                </c:pt>
                <c:pt idx="4">
                  <c:v>P. Control Velocidad</c:v>
                </c:pt>
                <c:pt idx="5">
                  <c:v>Presencia Disuasoria</c:v>
                </c:pt>
              </c:strCache>
            </c:strRef>
          </c:cat>
          <c:val>
            <c:numRef>
              <c:f>D.Acciones!$M$30:$M$36</c:f>
              <c:numCache>
                <c:formatCode>#,##0</c:formatCode>
                <c:ptCount val="6"/>
                <c:pt idx="0">
                  <c:v>794</c:v>
                </c:pt>
                <c:pt idx="1">
                  <c:v>211</c:v>
                </c:pt>
                <c:pt idx="2">
                  <c:v>2129</c:v>
                </c:pt>
                <c:pt idx="3">
                  <c:v>1331</c:v>
                </c:pt>
                <c:pt idx="4">
                  <c:v>381</c:v>
                </c:pt>
                <c:pt idx="5">
                  <c:v>1301</c:v>
                </c:pt>
              </c:numCache>
            </c:numRef>
          </c:val>
          <c:extLst>
            <c:ext xmlns:c16="http://schemas.microsoft.com/office/drawing/2014/chart" uri="{C3380CC4-5D6E-409C-BE32-E72D297353CC}">
              <c16:uniqueId val="{00000000-927A-134D-AC5C-DC9BA588701E}"/>
            </c:ext>
          </c:extLst>
        </c:ser>
        <c:ser>
          <c:idx val="1"/>
          <c:order val="1"/>
          <c:tx>
            <c:strRef>
              <c:f>D.Acciones!$N$29</c:f>
              <c:strCache>
                <c:ptCount val="1"/>
                <c:pt idx="0">
                  <c:v>T_registros2</c:v>
                </c:pt>
              </c:strCache>
            </c:strRef>
          </c:tx>
          <c:spPr>
            <a:gradFill rotWithShape="1">
              <a:gsLst>
                <a:gs pos="0">
                  <a:schemeClr val="accent2">
                    <a:tint val="77000"/>
                    <a:lumMod val="110000"/>
                    <a:satMod val="105000"/>
                    <a:tint val="67000"/>
                  </a:schemeClr>
                </a:gs>
                <a:gs pos="50000">
                  <a:schemeClr val="accent2">
                    <a:tint val="77000"/>
                    <a:lumMod val="105000"/>
                    <a:satMod val="103000"/>
                    <a:tint val="73000"/>
                  </a:schemeClr>
                </a:gs>
                <a:gs pos="100000">
                  <a:schemeClr val="accent2">
                    <a:tint val="77000"/>
                    <a:lumMod val="105000"/>
                    <a:satMod val="109000"/>
                    <a:tint val="81000"/>
                  </a:schemeClr>
                </a:gs>
              </a:gsLst>
              <a:lin ang="5400000" scaled="0"/>
            </a:gradFill>
            <a:ln w="9525" cap="flat" cmpd="sng" algn="ctr">
              <a:solidFill>
                <a:schemeClr val="accent2">
                  <a:tint val="77000"/>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D.Acciones!$L$30:$L$36</c:f>
              <c:strCache>
                <c:ptCount val="6"/>
                <c:pt idx="0">
                  <c:v>Otras</c:v>
                </c:pt>
                <c:pt idx="1">
                  <c:v>P. Control Embriaguez</c:v>
                </c:pt>
                <c:pt idx="2">
                  <c:v>P. Control General</c:v>
                </c:pt>
                <c:pt idx="3">
                  <c:v>P. control SRL</c:v>
                </c:pt>
                <c:pt idx="4">
                  <c:v>P. Control Velocidad</c:v>
                </c:pt>
                <c:pt idx="5">
                  <c:v>Presencia Disuasoria</c:v>
                </c:pt>
              </c:strCache>
            </c:strRef>
          </c:cat>
          <c:val>
            <c:numRef>
              <c:f>D.Acciones!$N$30:$N$36</c:f>
              <c:numCache>
                <c:formatCode>0%</c:formatCode>
                <c:ptCount val="6"/>
                <c:pt idx="0">
                  <c:v>0.12916870017894908</c:v>
                </c:pt>
                <c:pt idx="1">
                  <c:v>3.4325687327151459E-2</c:v>
                </c:pt>
                <c:pt idx="2">
                  <c:v>0.34634781194078412</c:v>
                </c:pt>
                <c:pt idx="3">
                  <c:v>0.2165283878314625</c:v>
                </c:pt>
                <c:pt idx="4">
                  <c:v>6.1981454367984384E-2</c:v>
                </c:pt>
                <c:pt idx="5">
                  <c:v>0.21164795835366845</c:v>
                </c:pt>
              </c:numCache>
            </c:numRef>
          </c:val>
          <c:extLst>
            <c:ext xmlns:c16="http://schemas.microsoft.com/office/drawing/2014/chart" uri="{C3380CC4-5D6E-409C-BE32-E72D297353CC}">
              <c16:uniqueId val="{00000001-927A-134D-AC5C-DC9BA588701E}"/>
            </c:ext>
          </c:extLst>
        </c:ser>
        <c:dLbls>
          <c:showLegendKey val="0"/>
          <c:showVal val="1"/>
          <c:showCatName val="0"/>
          <c:showSerName val="0"/>
          <c:showPercent val="0"/>
          <c:showBubbleSize val="0"/>
        </c:dLbls>
        <c:gapWidth val="100"/>
        <c:overlap val="100"/>
        <c:axId val="326671224"/>
        <c:axId val="326671616"/>
      </c:barChart>
      <c:catAx>
        <c:axId val="3266712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71616"/>
        <c:crosses val="autoZero"/>
        <c:auto val="1"/>
        <c:lblAlgn val="ctr"/>
        <c:lblOffset val="100"/>
        <c:noMultiLvlLbl val="0"/>
      </c:catAx>
      <c:valAx>
        <c:axId val="326671616"/>
        <c:scaling>
          <c:logBase val="10"/>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3266712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pivotSource>
    <c:name>[Graficas.xlsx]D.Acciones!TablaDinámica7</c:name>
    <c:fmtId val="-1"/>
  </c:pivotSource>
  <c:chart>
    <c:autoTitleDeleted val="1"/>
    <c:pivotFmts>
      <c:pivotFmt>
        <c:idx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circle"/>
          <c:size val="4"/>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symbol val="none"/>
        </c:marker>
        <c:dLbl>
          <c:idx val="0"/>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D.Acciones!$M$45</c:f>
              <c:strCache>
                <c:ptCount val="1"/>
                <c:pt idx="0">
                  <c:v>Total</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D.Acciones!$L$46:$L$51</c:f>
              <c:strCache>
                <c:ptCount val="6"/>
                <c:pt idx="0">
                  <c:v>Velocidad</c:v>
                </c:pt>
                <c:pt idx="1">
                  <c:v>Embriaguez</c:v>
                </c:pt>
                <c:pt idx="2">
                  <c:v>SOAT RTM Licencia</c:v>
                </c:pt>
                <c:pt idx="3">
                  <c:v>T. Pasajeros</c:v>
                </c:pt>
                <c:pt idx="4">
                  <c:v>T. Especial</c:v>
                </c:pt>
                <c:pt idx="5">
                  <c:v>Otros</c:v>
                </c:pt>
              </c:strCache>
            </c:strRef>
          </c:cat>
          <c:val>
            <c:numRef>
              <c:f>D.Acciones!$M$46:$M$51</c:f>
              <c:numCache>
                <c:formatCode>#,##0</c:formatCode>
                <c:ptCount val="6"/>
                <c:pt idx="0">
                  <c:v>7544</c:v>
                </c:pt>
                <c:pt idx="1">
                  <c:v>1043</c:v>
                </c:pt>
                <c:pt idx="2">
                  <c:v>38939</c:v>
                </c:pt>
                <c:pt idx="3">
                  <c:v>1849</c:v>
                </c:pt>
                <c:pt idx="4">
                  <c:v>227</c:v>
                </c:pt>
                <c:pt idx="5">
                  <c:v>61148</c:v>
                </c:pt>
              </c:numCache>
            </c:numRef>
          </c:val>
          <c:extLst>
            <c:ext xmlns:c16="http://schemas.microsoft.com/office/drawing/2014/chart" uri="{C3380CC4-5D6E-409C-BE32-E72D297353CC}">
              <c16:uniqueId val="{00000000-A62F-E146-B99C-98C58D924B65}"/>
            </c:ext>
          </c:extLst>
        </c:ser>
        <c:dLbls>
          <c:dLblPos val="outEnd"/>
          <c:showLegendKey val="0"/>
          <c:showVal val="1"/>
          <c:showCatName val="0"/>
          <c:showSerName val="0"/>
          <c:showPercent val="0"/>
          <c:showBubbleSize val="0"/>
        </c:dLbls>
        <c:gapWidth val="100"/>
        <c:overlap val="-24"/>
        <c:axId val="326662600"/>
        <c:axId val="326672008"/>
      </c:barChart>
      <c:catAx>
        <c:axId val="326662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72008"/>
        <c:crosses val="autoZero"/>
        <c:auto val="1"/>
        <c:lblAlgn val="ctr"/>
        <c:lblOffset val="100"/>
        <c:noMultiLvlLbl val="0"/>
      </c:catAx>
      <c:valAx>
        <c:axId val="326672008"/>
        <c:scaling>
          <c:logBase val="10"/>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3266626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col"/>
        <c:grouping val="clustered"/>
        <c:varyColors val="0"/>
        <c:ser>
          <c:idx val="0"/>
          <c:order val="0"/>
          <c:tx>
            <c:strRef>
              <c:f>D.Acciones!$I$1298</c:f>
              <c:strCache>
                <c:ptCount val="1"/>
                <c:pt idx="0">
                  <c:v>2024</c:v>
                </c:pt>
              </c:strCache>
            </c:strRef>
          </c:tx>
          <c:spPr>
            <a:solidFill>
              <a:schemeClr val="accent2">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D.Acciones!$H$1299:$H$1304</c:f>
              <c:strCache>
                <c:ptCount val="6"/>
                <c:pt idx="0">
                  <c:v>Semana 1</c:v>
                </c:pt>
                <c:pt idx="1">
                  <c:v>Semana 2</c:v>
                </c:pt>
                <c:pt idx="2">
                  <c:v>Semana 3</c:v>
                </c:pt>
                <c:pt idx="3">
                  <c:v>Semana 4</c:v>
                </c:pt>
                <c:pt idx="4">
                  <c:v>Semana 5</c:v>
                </c:pt>
                <c:pt idx="5">
                  <c:v>Semana 6</c:v>
                </c:pt>
              </c:strCache>
            </c:strRef>
          </c:cat>
          <c:val>
            <c:numRef>
              <c:f>D.Acciones!$I$1299:$I$1304</c:f>
              <c:numCache>
                <c:formatCode>General</c:formatCode>
                <c:ptCount val="6"/>
                <c:pt idx="0">
                  <c:v>769</c:v>
                </c:pt>
                <c:pt idx="1">
                  <c:v>708</c:v>
                </c:pt>
                <c:pt idx="2">
                  <c:v>550</c:v>
                </c:pt>
                <c:pt idx="3">
                  <c:v>569</c:v>
                </c:pt>
                <c:pt idx="4">
                  <c:v>432</c:v>
                </c:pt>
                <c:pt idx="5">
                  <c:v>351</c:v>
                </c:pt>
              </c:numCache>
            </c:numRef>
          </c:val>
          <c:extLst>
            <c:ext xmlns:c16="http://schemas.microsoft.com/office/drawing/2014/chart" uri="{C3380CC4-5D6E-409C-BE32-E72D297353CC}">
              <c16:uniqueId val="{00000000-117F-9145-9CD1-3E2F5A4A4AD3}"/>
            </c:ext>
          </c:extLst>
        </c:ser>
        <c:ser>
          <c:idx val="1"/>
          <c:order val="1"/>
          <c:tx>
            <c:strRef>
              <c:f>D.Acciones!$J$1298</c:f>
              <c:strCache>
                <c:ptCount val="1"/>
                <c:pt idx="0">
                  <c:v>2023</c:v>
                </c:pt>
              </c:strCache>
            </c:strRef>
          </c:tx>
          <c:spPr>
            <a:solidFill>
              <a:schemeClr val="accent2">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D.Acciones!$H$1299:$H$1304</c:f>
              <c:strCache>
                <c:ptCount val="6"/>
                <c:pt idx="0">
                  <c:v>Semana 1</c:v>
                </c:pt>
                <c:pt idx="1">
                  <c:v>Semana 2</c:v>
                </c:pt>
                <c:pt idx="2">
                  <c:v>Semana 3</c:v>
                </c:pt>
                <c:pt idx="3">
                  <c:v>Semana 4</c:v>
                </c:pt>
                <c:pt idx="4">
                  <c:v>Semana 5</c:v>
                </c:pt>
                <c:pt idx="5">
                  <c:v>Semana 6</c:v>
                </c:pt>
              </c:strCache>
            </c:strRef>
          </c:cat>
          <c:val>
            <c:numRef>
              <c:f>D.Acciones!$J$1299:$J$1304</c:f>
              <c:numCache>
                <c:formatCode>General</c:formatCode>
                <c:ptCount val="6"/>
                <c:pt idx="0">
                  <c:v>235</c:v>
                </c:pt>
                <c:pt idx="1">
                  <c:v>147</c:v>
                </c:pt>
                <c:pt idx="2">
                  <c:v>343</c:v>
                </c:pt>
                <c:pt idx="3">
                  <c:v>598</c:v>
                </c:pt>
                <c:pt idx="4">
                  <c:v>442</c:v>
                </c:pt>
                <c:pt idx="5">
                  <c:v>185</c:v>
                </c:pt>
              </c:numCache>
            </c:numRef>
          </c:val>
          <c:extLst>
            <c:ext xmlns:c16="http://schemas.microsoft.com/office/drawing/2014/chart" uri="{C3380CC4-5D6E-409C-BE32-E72D297353CC}">
              <c16:uniqueId val="{00000001-117F-9145-9CD1-3E2F5A4A4AD3}"/>
            </c:ext>
          </c:extLst>
        </c:ser>
        <c:dLbls>
          <c:dLblPos val="outEnd"/>
          <c:showLegendKey val="0"/>
          <c:showVal val="1"/>
          <c:showCatName val="0"/>
          <c:showSerName val="0"/>
          <c:showPercent val="0"/>
          <c:showBubbleSize val="0"/>
        </c:dLbls>
        <c:gapWidth val="219"/>
        <c:overlap val="-27"/>
        <c:axId val="326663384"/>
        <c:axId val="326663776"/>
      </c:barChart>
      <c:catAx>
        <c:axId val="326663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63776"/>
        <c:crosses val="autoZero"/>
        <c:auto val="1"/>
        <c:lblAlgn val="ctr"/>
        <c:lblOffset val="100"/>
        <c:noMultiLvlLbl val="0"/>
      </c:catAx>
      <c:valAx>
        <c:axId val="326663776"/>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26663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chart>
  <c:spPr>
    <a:noFill/>
    <a:ln w="9525" cap="flat" cmpd="sng" algn="ctr">
      <a:no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clustered"/>
        <c:varyColors val="0"/>
        <c:ser>
          <c:idx val="0"/>
          <c:order val="0"/>
          <c:tx>
            <c:strRef>
              <c:f>D.Acciones!$I$1338</c:f>
              <c:strCache>
                <c:ptCount val="1"/>
                <c:pt idx="0">
                  <c:v>2024</c:v>
                </c:pt>
              </c:strCache>
            </c:strRef>
          </c:tx>
          <c:spPr>
            <a:solidFill>
              <a:schemeClr val="accent2">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D.Acciones!$H$1339:$H$1347</c:f>
              <c:strCache>
                <c:ptCount val="9"/>
                <c:pt idx="0">
                  <c:v>Bicidestrezas</c:v>
                </c:pt>
                <c:pt idx="1">
                  <c:v>Evite el consumo de alcohol</c:v>
                </c:pt>
                <c:pt idx="2">
                  <c:v>Evite las distracciones</c:v>
                </c:pt>
                <c:pt idx="3">
                  <c:v>Exceso Horas de Conducción Fátiga</c:v>
                </c:pt>
                <c:pt idx="4">
                  <c:v>Lleve siempre puesto el cinturón de seguridad o casco</c:v>
                </c:pt>
                <c:pt idx="5">
                  <c:v>Motodestrezas</c:v>
                </c:pt>
                <c:pt idx="6">
                  <c:v>Otras</c:v>
                </c:pt>
                <c:pt idx="7">
                  <c:v>Use el sistemas de retencion infantil</c:v>
                </c:pt>
                <c:pt idx="8">
                  <c:v>Vigile su velocidad.</c:v>
                </c:pt>
              </c:strCache>
            </c:strRef>
          </c:cat>
          <c:val>
            <c:numRef>
              <c:f>D.Acciones!$I$1339:$I$1347</c:f>
              <c:numCache>
                <c:formatCode>#,##0</c:formatCode>
                <c:ptCount val="9"/>
                <c:pt idx="0">
                  <c:v>15</c:v>
                </c:pt>
                <c:pt idx="1">
                  <c:v>356</c:v>
                </c:pt>
                <c:pt idx="2">
                  <c:v>388</c:v>
                </c:pt>
                <c:pt idx="3">
                  <c:v>59</c:v>
                </c:pt>
                <c:pt idx="4">
                  <c:v>857</c:v>
                </c:pt>
                <c:pt idx="5">
                  <c:v>84</c:v>
                </c:pt>
                <c:pt idx="6">
                  <c:v>1157</c:v>
                </c:pt>
                <c:pt idx="7">
                  <c:v>7</c:v>
                </c:pt>
                <c:pt idx="8">
                  <c:v>425</c:v>
                </c:pt>
              </c:numCache>
            </c:numRef>
          </c:val>
          <c:extLst>
            <c:ext xmlns:c16="http://schemas.microsoft.com/office/drawing/2014/chart" uri="{C3380CC4-5D6E-409C-BE32-E72D297353CC}">
              <c16:uniqueId val="{00000000-FD0D-4F4E-8402-CD7363F0F9BF}"/>
            </c:ext>
          </c:extLst>
        </c:ser>
        <c:ser>
          <c:idx val="1"/>
          <c:order val="1"/>
          <c:tx>
            <c:strRef>
              <c:f>D.Acciones!$J$1338</c:f>
              <c:strCache>
                <c:ptCount val="1"/>
                <c:pt idx="0">
                  <c:v>2023</c:v>
                </c:pt>
              </c:strCache>
            </c:strRef>
          </c:tx>
          <c:spPr>
            <a:solidFill>
              <a:schemeClr val="accent2">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D.Acciones!$H$1339:$H$1347</c:f>
              <c:strCache>
                <c:ptCount val="9"/>
                <c:pt idx="0">
                  <c:v>Bicidestrezas</c:v>
                </c:pt>
                <c:pt idx="1">
                  <c:v>Evite el consumo de alcohol</c:v>
                </c:pt>
                <c:pt idx="2">
                  <c:v>Evite las distracciones</c:v>
                </c:pt>
                <c:pt idx="3">
                  <c:v>Exceso Horas de Conducción Fátiga</c:v>
                </c:pt>
                <c:pt idx="4">
                  <c:v>Lleve siempre puesto el cinturón de seguridad o casco</c:v>
                </c:pt>
                <c:pt idx="5">
                  <c:v>Motodestrezas</c:v>
                </c:pt>
                <c:pt idx="6">
                  <c:v>Otras</c:v>
                </c:pt>
                <c:pt idx="7">
                  <c:v>Use el sistemas de retencion infantil</c:v>
                </c:pt>
                <c:pt idx="8">
                  <c:v>Vigile su velocidad.</c:v>
                </c:pt>
              </c:strCache>
            </c:strRef>
          </c:cat>
          <c:val>
            <c:numRef>
              <c:f>D.Acciones!$J$1339:$J$1347</c:f>
              <c:numCache>
                <c:formatCode>#,##0</c:formatCode>
                <c:ptCount val="9"/>
                <c:pt idx="0">
                  <c:v>370</c:v>
                </c:pt>
                <c:pt idx="1">
                  <c:v>11227</c:v>
                </c:pt>
                <c:pt idx="2">
                  <c:v>6602</c:v>
                </c:pt>
                <c:pt idx="4">
                  <c:v>18735</c:v>
                </c:pt>
                <c:pt idx="5">
                  <c:v>1542</c:v>
                </c:pt>
                <c:pt idx="6">
                  <c:v>26259</c:v>
                </c:pt>
                <c:pt idx="7">
                  <c:v>176</c:v>
                </c:pt>
                <c:pt idx="8">
                  <c:v>4892</c:v>
                </c:pt>
              </c:numCache>
            </c:numRef>
          </c:val>
          <c:extLst>
            <c:ext xmlns:c16="http://schemas.microsoft.com/office/drawing/2014/chart" uri="{C3380CC4-5D6E-409C-BE32-E72D297353CC}">
              <c16:uniqueId val="{00000001-FD0D-4F4E-8402-CD7363F0F9BF}"/>
            </c:ext>
          </c:extLst>
        </c:ser>
        <c:dLbls>
          <c:dLblPos val="outEnd"/>
          <c:showLegendKey val="0"/>
          <c:showVal val="1"/>
          <c:showCatName val="0"/>
          <c:showSerName val="0"/>
          <c:showPercent val="0"/>
          <c:showBubbleSize val="0"/>
        </c:dLbls>
        <c:gapWidth val="182"/>
        <c:axId val="326668088"/>
        <c:axId val="326666520"/>
      </c:barChart>
      <c:catAx>
        <c:axId val="3266680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66520"/>
        <c:crosses val="autoZero"/>
        <c:auto val="1"/>
        <c:lblAlgn val="ctr"/>
        <c:lblOffset val="100"/>
        <c:noMultiLvlLbl val="0"/>
      </c:catAx>
      <c:valAx>
        <c:axId val="326666520"/>
        <c:scaling>
          <c:logBase val="10"/>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326668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chart>
  <c:spPr>
    <a:noFill/>
    <a:ln w="9525" cap="flat" cmpd="sng" algn="ctr">
      <a:noFill/>
      <a:round/>
    </a:ln>
    <a:effectLst/>
  </c:spPr>
  <c:txPr>
    <a:bodyPr/>
    <a:lstStyle/>
    <a:p>
      <a:pPr>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clustered"/>
        <c:varyColors val="0"/>
        <c:ser>
          <c:idx val="0"/>
          <c:order val="0"/>
          <c:tx>
            <c:strRef>
              <c:f>D.Acciones!$H$1257</c:f>
              <c:strCache>
                <c:ptCount val="1"/>
                <c:pt idx="0">
                  <c:v>2024</c:v>
                </c:pt>
              </c:strCache>
            </c:strRef>
          </c:tx>
          <c:spPr>
            <a:solidFill>
              <a:schemeClr val="accent2">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D.Acciones!$G$1258:$G$1263</c:f>
              <c:strCache>
                <c:ptCount val="6"/>
                <c:pt idx="0">
                  <c:v>Velocidad</c:v>
                </c:pt>
                <c:pt idx="1">
                  <c:v>Embriaguez</c:v>
                </c:pt>
                <c:pt idx="2">
                  <c:v>SOAT RTM Licencia</c:v>
                </c:pt>
                <c:pt idx="3">
                  <c:v>T. Pasajeros</c:v>
                </c:pt>
                <c:pt idx="4">
                  <c:v>T. Especial</c:v>
                </c:pt>
                <c:pt idx="5">
                  <c:v>Otros</c:v>
                </c:pt>
              </c:strCache>
            </c:strRef>
          </c:cat>
          <c:val>
            <c:numRef>
              <c:f>D.Acciones!$H$1258:$H$1263</c:f>
              <c:numCache>
                <c:formatCode>#,##0</c:formatCode>
                <c:ptCount val="6"/>
                <c:pt idx="0">
                  <c:v>3690</c:v>
                </c:pt>
                <c:pt idx="1">
                  <c:v>569</c:v>
                </c:pt>
                <c:pt idx="2">
                  <c:v>22607</c:v>
                </c:pt>
                <c:pt idx="3">
                  <c:v>873</c:v>
                </c:pt>
                <c:pt idx="4">
                  <c:v>114</c:v>
                </c:pt>
                <c:pt idx="5">
                  <c:v>33784</c:v>
                </c:pt>
              </c:numCache>
            </c:numRef>
          </c:val>
          <c:extLst>
            <c:ext xmlns:c16="http://schemas.microsoft.com/office/drawing/2014/chart" uri="{C3380CC4-5D6E-409C-BE32-E72D297353CC}">
              <c16:uniqueId val="{00000000-0271-4B4B-A3CB-F849EFF17B02}"/>
            </c:ext>
          </c:extLst>
        </c:ser>
        <c:ser>
          <c:idx val="1"/>
          <c:order val="1"/>
          <c:tx>
            <c:strRef>
              <c:f>D.Acciones!$I$1257</c:f>
              <c:strCache>
                <c:ptCount val="1"/>
                <c:pt idx="0">
                  <c:v>2023</c:v>
                </c:pt>
              </c:strCache>
            </c:strRef>
          </c:tx>
          <c:spPr>
            <a:solidFill>
              <a:schemeClr val="accent2">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D.Acciones!$G$1258:$G$1263</c:f>
              <c:strCache>
                <c:ptCount val="6"/>
                <c:pt idx="0">
                  <c:v>Velocidad</c:v>
                </c:pt>
                <c:pt idx="1">
                  <c:v>Embriaguez</c:v>
                </c:pt>
                <c:pt idx="2">
                  <c:v>SOAT RTM Licencia</c:v>
                </c:pt>
                <c:pt idx="3">
                  <c:v>T. Pasajeros</c:v>
                </c:pt>
                <c:pt idx="4">
                  <c:v>T. Especial</c:v>
                </c:pt>
                <c:pt idx="5">
                  <c:v>Otros</c:v>
                </c:pt>
              </c:strCache>
            </c:strRef>
          </c:cat>
          <c:val>
            <c:numRef>
              <c:f>D.Acciones!$I$1258:$I$1263</c:f>
              <c:numCache>
                <c:formatCode>#,##0</c:formatCode>
                <c:ptCount val="6"/>
                <c:pt idx="0">
                  <c:v>1434</c:v>
                </c:pt>
                <c:pt idx="1">
                  <c:v>289</c:v>
                </c:pt>
                <c:pt idx="2">
                  <c:v>8246</c:v>
                </c:pt>
                <c:pt idx="5">
                  <c:v>19979</c:v>
                </c:pt>
              </c:numCache>
            </c:numRef>
          </c:val>
          <c:extLst>
            <c:ext xmlns:c16="http://schemas.microsoft.com/office/drawing/2014/chart" uri="{C3380CC4-5D6E-409C-BE32-E72D297353CC}">
              <c16:uniqueId val="{00000001-0271-4B4B-A3CB-F849EFF17B02}"/>
            </c:ext>
          </c:extLst>
        </c:ser>
        <c:dLbls>
          <c:dLblPos val="outEnd"/>
          <c:showLegendKey val="0"/>
          <c:showVal val="1"/>
          <c:showCatName val="0"/>
          <c:showSerName val="0"/>
          <c:showPercent val="0"/>
          <c:showBubbleSize val="0"/>
        </c:dLbls>
        <c:gapWidth val="182"/>
        <c:axId val="326674360"/>
        <c:axId val="326675144"/>
      </c:barChart>
      <c:catAx>
        <c:axId val="326674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75144"/>
        <c:crosses val="autoZero"/>
        <c:auto val="1"/>
        <c:lblAlgn val="ctr"/>
        <c:lblOffset val="100"/>
        <c:noMultiLvlLbl val="0"/>
      </c:catAx>
      <c:valAx>
        <c:axId val="326675144"/>
        <c:scaling>
          <c:logBase val="10"/>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326674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chart>
  <c:spPr>
    <a:noFill/>
    <a:ln w="9525" cap="flat" cmpd="sng" algn="ctr">
      <a:noFill/>
      <a:round/>
    </a:ln>
    <a:effectLst/>
  </c:spPr>
  <c:txPr>
    <a:bodyPr/>
    <a:lstStyle/>
    <a:p>
      <a:pPr>
        <a:defRPr/>
      </a:pPr>
      <a:endParaRPr lang="es-C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clustered"/>
        <c:varyColors val="0"/>
        <c:ser>
          <c:idx val="0"/>
          <c:order val="0"/>
          <c:tx>
            <c:strRef>
              <c:f>D.Acciones!$I$1271</c:f>
              <c:strCache>
                <c:ptCount val="1"/>
                <c:pt idx="0">
                  <c:v>2024</c:v>
                </c:pt>
              </c:strCache>
            </c:strRef>
          </c:tx>
          <c:spPr>
            <a:solidFill>
              <a:schemeClr val="accent2">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D.Acciones!$H$1272:$H$1276</c:f>
              <c:strCache>
                <c:ptCount val="5"/>
                <c:pt idx="0">
                  <c:v>Motociclistas informados</c:v>
                </c:pt>
                <c:pt idx="1">
                  <c:v>T, Carga informados</c:v>
                </c:pt>
                <c:pt idx="2">
                  <c:v>T. Pasajeros informados</c:v>
                </c:pt>
                <c:pt idx="3">
                  <c:v>T. Especial Informados</c:v>
                </c:pt>
                <c:pt idx="4">
                  <c:v>Otros Conductores Informados</c:v>
                </c:pt>
              </c:strCache>
            </c:strRef>
          </c:cat>
          <c:val>
            <c:numRef>
              <c:f>D.Acciones!$I$1272:$I$1276</c:f>
              <c:numCache>
                <c:formatCode>#,##0</c:formatCode>
                <c:ptCount val="5"/>
                <c:pt idx="0">
                  <c:v>74689</c:v>
                </c:pt>
                <c:pt idx="1">
                  <c:v>26877</c:v>
                </c:pt>
                <c:pt idx="2">
                  <c:v>34528</c:v>
                </c:pt>
                <c:pt idx="3">
                  <c:v>18820</c:v>
                </c:pt>
                <c:pt idx="4">
                  <c:v>35334</c:v>
                </c:pt>
              </c:numCache>
            </c:numRef>
          </c:val>
          <c:extLst>
            <c:ext xmlns:c16="http://schemas.microsoft.com/office/drawing/2014/chart" uri="{C3380CC4-5D6E-409C-BE32-E72D297353CC}">
              <c16:uniqueId val="{00000000-DC01-BA4C-BB0E-157B0EE0A746}"/>
            </c:ext>
          </c:extLst>
        </c:ser>
        <c:ser>
          <c:idx val="1"/>
          <c:order val="1"/>
          <c:tx>
            <c:strRef>
              <c:f>D.Acciones!$J$1271</c:f>
              <c:strCache>
                <c:ptCount val="1"/>
                <c:pt idx="0">
                  <c:v>2023</c:v>
                </c:pt>
              </c:strCache>
            </c:strRef>
          </c:tx>
          <c:spPr>
            <a:solidFill>
              <a:schemeClr val="accent2">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D.Acciones!$H$1272:$H$1276</c:f>
              <c:strCache>
                <c:ptCount val="5"/>
                <c:pt idx="0">
                  <c:v>Motociclistas informados</c:v>
                </c:pt>
                <c:pt idx="1">
                  <c:v>T, Carga informados</c:v>
                </c:pt>
                <c:pt idx="2">
                  <c:v>T. Pasajeros informados</c:v>
                </c:pt>
                <c:pt idx="3">
                  <c:v>T. Especial Informados</c:v>
                </c:pt>
                <c:pt idx="4">
                  <c:v>Otros Conductores Informados</c:v>
                </c:pt>
              </c:strCache>
            </c:strRef>
          </c:cat>
          <c:val>
            <c:numRef>
              <c:f>D.Acciones!$J$1272:$J$1276</c:f>
              <c:numCache>
                <c:formatCode>#,##0</c:formatCode>
                <c:ptCount val="5"/>
                <c:pt idx="0">
                  <c:v>55300</c:v>
                </c:pt>
                <c:pt idx="1">
                  <c:v>31324</c:v>
                </c:pt>
                <c:pt idx="2">
                  <c:v>23698</c:v>
                </c:pt>
                <c:pt idx="4">
                  <c:v>35653</c:v>
                </c:pt>
              </c:numCache>
            </c:numRef>
          </c:val>
          <c:extLst>
            <c:ext xmlns:c16="http://schemas.microsoft.com/office/drawing/2014/chart" uri="{C3380CC4-5D6E-409C-BE32-E72D297353CC}">
              <c16:uniqueId val="{00000001-DC01-BA4C-BB0E-157B0EE0A746}"/>
            </c:ext>
          </c:extLst>
        </c:ser>
        <c:dLbls>
          <c:dLblPos val="outEnd"/>
          <c:showLegendKey val="0"/>
          <c:showVal val="1"/>
          <c:showCatName val="0"/>
          <c:showSerName val="0"/>
          <c:showPercent val="0"/>
          <c:showBubbleSize val="0"/>
        </c:dLbls>
        <c:gapWidth val="182"/>
        <c:axId val="326673968"/>
        <c:axId val="326675536"/>
      </c:barChart>
      <c:catAx>
        <c:axId val="326673968"/>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75536"/>
        <c:crosses val="autoZero"/>
        <c:auto val="1"/>
        <c:lblAlgn val="ctr"/>
        <c:lblOffset val="100"/>
        <c:noMultiLvlLbl val="0"/>
      </c:catAx>
      <c:valAx>
        <c:axId val="326675536"/>
        <c:scaling>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326673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noFill/>
    <a:ln w="9525" cap="flat" cmpd="sng" algn="ctr">
      <a:noFill/>
      <a:round/>
    </a:ln>
    <a:effectLst/>
  </c:spPr>
  <c:txPr>
    <a:bodyPr/>
    <a:lstStyle/>
    <a:p>
      <a:pPr>
        <a:defRPr/>
      </a:pPr>
      <a:endParaRPr lang="es-C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areaChart>
        <c:grouping val="stacked"/>
        <c:varyColors val="0"/>
        <c:ser>
          <c:idx val="2"/>
          <c:order val="2"/>
          <c:tx>
            <c:strRef>
              <c:f>D.Acciones!$L$950</c:f>
              <c:strCache>
                <c:ptCount val="1"/>
                <c:pt idx="0">
                  <c:v>Siniestros</c:v>
                </c:pt>
              </c:strCache>
            </c:strRef>
          </c:tx>
          <c:spPr>
            <a:gradFill rotWithShape="1">
              <a:gsLst>
                <a:gs pos="0">
                  <a:schemeClr val="accent2">
                    <a:tint val="65000"/>
                    <a:lumMod val="110000"/>
                    <a:satMod val="105000"/>
                    <a:tint val="67000"/>
                  </a:schemeClr>
                </a:gs>
                <a:gs pos="50000">
                  <a:schemeClr val="accent2">
                    <a:tint val="65000"/>
                    <a:lumMod val="105000"/>
                    <a:satMod val="103000"/>
                    <a:tint val="73000"/>
                  </a:schemeClr>
                </a:gs>
                <a:gs pos="100000">
                  <a:schemeClr val="accent2">
                    <a:tint val="65000"/>
                    <a:lumMod val="105000"/>
                    <a:satMod val="109000"/>
                    <a:tint val="81000"/>
                  </a:schemeClr>
                </a:gs>
              </a:gsLst>
              <a:lin ang="5400000" scaled="0"/>
            </a:gradFill>
            <a:ln w="9525" cap="flat" cmpd="sng" algn="ctr">
              <a:solidFill>
                <a:schemeClr val="accent2">
                  <a:tint val="65000"/>
                  <a:shade val="95000"/>
                </a:schemeClr>
              </a:solidFill>
              <a:round/>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D.Acciones!$M$947:$N$947</c:f>
              <c:strCache>
                <c:ptCount val="2"/>
                <c:pt idx="0">
                  <c:v>2024</c:v>
                </c:pt>
                <c:pt idx="1">
                  <c:v>2023</c:v>
                </c:pt>
              </c:strCache>
            </c:strRef>
          </c:cat>
          <c:val>
            <c:numRef>
              <c:f>D.Acciones!$M$950:$N$950</c:f>
              <c:numCache>
                <c:formatCode>General</c:formatCode>
                <c:ptCount val="2"/>
                <c:pt idx="0">
                  <c:v>1845</c:v>
                </c:pt>
                <c:pt idx="1">
                  <c:v>1720</c:v>
                </c:pt>
              </c:numCache>
            </c:numRef>
          </c:val>
          <c:extLst>
            <c:ext xmlns:c16="http://schemas.microsoft.com/office/drawing/2014/chart" uri="{C3380CC4-5D6E-409C-BE32-E72D297353CC}">
              <c16:uniqueId val="{00000000-2E49-4D5C-9B87-CEBB23712806}"/>
            </c:ext>
          </c:extLst>
        </c:ser>
        <c:dLbls>
          <c:showLegendKey val="0"/>
          <c:showVal val="1"/>
          <c:showCatName val="0"/>
          <c:showSerName val="0"/>
          <c:showPercent val="0"/>
          <c:showBubbleSize val="0"/>
        </c:dLbls>
        <c:axId val="326675928"/>
        <c:axId val="326676320"/>
      </c:areaChart>
      <c:barChart>
        <c:barDir val="col"/>
        <c:grouping val="clustered"/>
        <c:varyColors val="0"/>
        <c:ser>
          <c:idx val="0"/>
          <c:order val="0"/>
          <c:tx>
            <c:strRef>
              <c:f>D.Acciones!$L$948</c:f>
              <c:strCache>
                <c:ptCount val="1"/>
                <c:pt idx="0">
                  <c:v>Municipios</c:v>
                </c:pt>
              </c:strCache>
            </c:strRef>
          </c:tx>
          <c:spPr>
            <a:gradFill rotWithShape="1">
              <a:gsLst>
                <a:gs pos="0">
                  <a:schemeClr val="accent2">
                    <a:shade val="65000"/>
                    <a:lumMod val="110000"/>
                    <a:satMod val="105000"/>
                    <a:tint val="67000"/>
                  </a:schemeClr>
                </a:gs>
                <a:gs pos="50000">
                  <a:schemeClr val="accent2">
                    <a:shade val="65000"/>
                    <a:lumMod val="105000"/>
                    <a:satMod val="103000"/>
                    <a:tint val="73000"/>
                  </a:schemeClr>
                </a:gs>
                <a:gs pos="100000">
                  <a:schemeClr val="accent2">
                    <a:shade val="65000"/>
                    <a:lumMod val="105000"/>
                    <a:satMod val="109000"/>
                    <a:tint val="81000"/>
                  </a:schemeClr>
                </a:gs>
              </a:gsLst>
              <a:lin ang="5400000" scaled="0"/>
            </a:gradFill>
            <a:ln w="9525" cap="flat" cmpd="sng" algn="ctr">
              <a:solidFill>
                <a:schemeClr val="accent2">
                  <a:shade val="65000"/>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D.Acciones!$M$947:$N$947</c:f>
              <c:strCache>
                <c:ptCount val="2"/>
                <c:pt idx="0">
                  <c:v>2024</c:v>
                </c:pt>
                <c:pt idx="1">
                  <c:v>2023</c:v>
                </c:pt>
              </c:strCache>
            </c:strRef>
          </c:cat>
          <c:val>
            <c:numRef>
              <c:f>D.Acciones!$M$948:$N$948</c:f>
              <c:numCache>
                <c:formatCode>General</c:formatCode>
                <c:ptCount val="2"/>
                <c:pt idx="0">
                  <c:v>257</c:v>
                </c:pt>
                <c:pt idx="1">
                  <c:v>173</c:v>
                </c:pt>
              </c:numCache>
            </c:numRef>
          </c:val>
          <c:extLst>
            <c:ext xmlns:c16="http://schemas.microsoft.com/office/drawing/2014/chart" uri="{C3380CC4-5D6E-409C-BE32-E72D297353CC}">
              <c16:uniqueId val="{00000001-2E49-4D5C-9B87-CEBB23712806}"/>
            </c:ext>
          </c:extLst>
        </c:ser>
        <c:dLbls>
          <c:showLegendKey val="0"/>
          <c:showVal val="1"/>
          <c:showCatName val="0"/>
          <c:showSerName val="0"/>
          <c:showPercent val="0"/>
          <c:showBubbleSize val="0"/>
        </c:dLbls>
        <c:gapWidth val="219"/>
        <c:axId val="319253968"/>
        <c:axId val="326673576"/>
      </c:barChart>
      <c:lineChart>
        <c:grouping val="stacked"/>
        <c:varyColors val="0"/>
        <c:ser>
          <c:idx val="1"/>
          <c:order val="1"/>
          <c:tx>
            <c:strRef>
              <c:f>D.Acciones!$L$949</c:f>
              <c:strCache>
                <c:ptCount val="1"/>
                <c:pt idx="0">
                  <c:v>Registros</c:v>
                </c:pt>
              </c:strCache>
            </c:strRef>
          </c:tx>
          <c:spPr>
            <a:ln w="158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D.Acciones!$M$947:$N$947</c:f>
              <c:strCache>
                <c:ptCount val="2"/>
                <c:pt idx="0">
                  <c:v>2024</c:v>
                </c:pt>
                <c:pt idx="1">
                  <c:v>2023</c:v>
                </c:pt>
              </c:strCache>
            </c:strRef>
          </c:cat>
          <c:val>
            <c:numRef>
              <c:f>D.Acciones!$M$949:$N$949</c:f>
              <c:numCache>
                <c:formatCode>General</c:formatCode>
                <c:ptCount val="2"/>
                <c:pt idx="0">
                  <c:v>2818</c:v>
                </c:pt>
                <c:pt idx="1">
                  <c:v>1368</c:v>
                </c:pt>
              </c:numCache>
            </c:numRef>
          </c:val>
          <c:smooth val="0"/>
          <c:extLst>
            <c:ext xmlns:c16="http://schemas.microsoft.com/office/drawing/2014/chart" uri="{C3380CC4-5D6E-409C-BE32-E72D297353CC}">
              <c16:uniqueId val="{00000002-2E49-4D5C-9B87-CEBB23712806}"/>
            </c:ext>
          </c:extLst>
        </c:ser>
        <c:dLbls>
          <c:showLegendKey val="0"/>
          <c:showVal val="1"/>
          <c:showCatName val="0"/>
          <c:showSerName val="0"/>
          <c:showPercent val="0"/>
          <c:showBubbleSize val="0"/>
        </c:dLbls>
        <c:marker val="1"/>
        <c:smooth val="0"/>
        <c:axId val="326675928"/>
        <c:axId val="326676320"/>
      </c:lineChart>
      <c:catAx>
        <c:axId val="326675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76320"/>
        <c:crosses val="autoZero"/>
        <c:auto val="1"/>
        <c:lblAlgn val="ctr"/>
        <c:lblOffset val="100"/>
        <c:noMultiLvlLbl val="0"/>
      </c:catAx>
      <c:valAx>
        <c:axId val="32667632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26675928"/>
        <c:crosses val="autoZero"/>
        <c:crossBetween val="between"/>
      </c:valAx>
      <c:valAx>
        <c:axId val="32667357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crossAx val="319253968"/>
        <c:crosses val="max"/>
        <c:crossBetween val="between"/>
      </c:valAx>
      <c:catAx>
        <c:axId val="319253968"/>
        <c:scaling>
          <c:orientation val="minMax"/>
        </c:scaling>
        <c:delete val="1"/>
        <c:axPos val="b"/>
        <c:numFmt formatCode="General" sourceLinked="1"/>
        <c:majorTickMark val="none"/>
        <c:minorTickMark val="none"/>
        <c:tickLblPos val="nextTo"/>
        <c:crossAx val="32667357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chart>
  <c:spPr>
    <a:noFill/>
    <a:ln w="9525" cap="flat" cmpd="sng" algn="ctr">
      <a:no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withinLinear" id="15">
  <a:schemeClr val="accent2"/>
</cs:colorStyle>
</file>

<file path=word/charts/colors5.xml><?xml version="1.0" encoding="utf-8"?>
<cs:colorStyle xmlns:cs="http://schemas.microsoft.com/office/drawing/2012/chartStyle" xmlns:a="http://schemas.openxmlformats.org/drawingml/2006/main" meth="withinLinear" id="15">
  <a:schemeClr val="accent2"/>
</cs:colorStyle>
</file>

<file path=word/charts/colors6.xml><?xml version="1.0" encoding="utf-8"?>
<cs:colorStyle xmlns:cs="http://schemas.microsoft.com/office/drawing/2012/chartStyle" xmlns:a="http://schemas.openxmlformats.org/drawingml/2006/main" meth="withinLinear" id="15">
  <a:schemeClr val="accent2"/>
</cs:colorStyle>
</file>

<file path=word/charts/colors7.xml><?xml version="1.0" encoding="utf-8"?>
<cs:colorStyle xmlns:cs="http://schemas.microsoft.com/office/drawing/2012/chartStyle" xmlns:a="http://schemas.openxmlformats.org/drawingml/2006/main" meth="withinLinear" id="15">
  <a:schemeClr val="accent2"/>
</cs:colorStyle>
</file>

<file path=word/charts/colors8.xml><?xml version="1.0" encoding="utf-8"?>
<cs:colorStyle xmlns:cs="http://schemas.microsoft.com/office/drawing/2012/chartStyle" xmlns:a="http://schemas.openxmlformats.org/drawingml/2006/main" meth="withinLinear" id="15">
  <a:schemeClr val="accent2"/>
</cs:colorStyle>
</file>

<file path=word/charts/colors9.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2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75000"/>
            <a:lumOff val="25000"/>
          </a:schemeClr>
        </a:solidFill>
      </a:ln>
    </cs:spPr>
  </cs:downBar>
  <cs:dropLine>
    <cs:lnRef idx="0"/>
    <cs:fillRef idx="0"/>
    <cs:effectRef idx="0"/>
    <cs:fontRef idx="minor">
      <a:schemeClr val="dk1"/>
    </cs:fontRef>
    <cs:spPr>
      <a:ln w="9525">
        <a:solidFill>
          <a:schemeClr val="tx1">
            <a:lumMod val="75000"/>
            <a:lumOff val="25000"/>
          </a:schemeClr>
        </a:solidFill>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75000"/>
            <a:lumOff val="2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3246</Words>
  <Characters>17858</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A. GONZÁLEZ</dc:creator>
  <cp:keywords/>
  <dc:description/>
  <cp:lastModifiedBy>Isabel Cristina Espana Villota</cp:lastModifiedBy>
  <cp:revision>2</cp:revision>
  <dcterms:created xsi:type="dcterms:W3CDTF">2025-01-23T14:01:00Z</dcterms:created>
  <dcterms:modified xsi:type="dcterms:W3CDTF">2025-01-23T14:01:00Z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c9bbd4-2155-4c05-a8cb-143fc41f09a9_Enabled">
    <vt:lpwstr>true</vt:lpwstr>
  </property>
  <property fmtid="{D5CDD505-2E9C-101B-9397-08002B2CF9AE}" pid="3" name="MSIP_Label_79c9bbd4-2155-4c05-a8cb-143fc41f09a9_SetDate">
    <vt:lpwstr>2024-12-07T20:40:37Z</vt:lpwstr>
  </property>
  <property fmtid="{D5CDD505-2E9C-101B-9397-08002B2CF9AE}" pid="4" name="MSIP_Label_79c9bbd4-2155-4c05-a8cb-143fc41f09a9_Method">
    <vt:lpwstr>Standard</vt:lpwstr>
  </property>
  <property fmtid="{D5CDD505-2E9C-101B-9397-08002B2CF9AE}" pid="5" name="MSIP_Label_79c9bbd4-2155-4c05-a8cb-143fc41f09a9_Name">
    <vt:lpwstr>defa4170-0d19-0005-0004-bc88714345d2</vt:lpwstr>
  </property>
  <property fmtid="{D5CDD505-2E9C-101B-9397-08002B2CF9AE}" pid="6" name="MSIP_Label_79c9bbd4-2155-4c05-a8cb-143fc41f09a9_SiteId">
    <vt:lpwstr>33fa6907-21c6-4126-aa66-bcbed95361bb</vt:lpwstr>
  </property>
  <property fmtid="{D5CDD505-2E9C-101B-9397-08002B2CF9AE}" pid="7" name="MSIP_Label_79c9bbd4-2155-4c05-a8cb-143fc41f09a9_ActionId">
    <vt:lpwstr>1c41c084-df68-4fbd-9ff2-f3e06fe34781</vt:lpwstr>
  </property>
  <property fmtid="{D5CDD505-2E9C-101B-9397-08002B2CF9AE}" pid="8" name="MSIP_Label_79c9bbd4-2155-4c05-a8cb-143fc41f09a9_ContentBits">
    <vt:lpwstr>0</vt:lpwstr>
  </property>
</Properties>
</file>