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"/>
        <w:contextualSpacing/>
        <w:rPr/>
      </w:pPr>
      <w:r>
        <w:rPr/>
        <w:t>TPRM Lifecycle Checklist</w:t>
      </w:r>
    </w:p>
    <w:p>
      <w:pPr>
        <w:pStyle w:val="Normal"/>
        <w:spacing w:before="0" w:after="180"/>
        <w:rPr>
          <w:rFonts w:ascii="Noto Sans" w:hAnsi="Noto Sans"/>
        </w:rPr>
      </w:pPr>
      <w:r>
        <w:rPr>
          <w:rFonts w:ascii="Noto Sans" w:hAnsi="Noto Sans"/>
          <w:color w:val="667085"/>
          <w:sz w:val="20"/>
        </w:rPr>
        <w:t>Use this checklist to connect intake, contracting, access, monitoring, exceptions, renewal, and offboarding.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47B20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  <w:tr>
        <w:trPr/>
        <w:tc>
          <w:tcPr>
            <w:tcW w:w="10296" w:type="dxa"/>
            <w:tcBorders/>
            <w:shd w:fill="0E7C86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rPr>
          <w:rFonts w:ascii="Noto Sans" w:hAnsi="Noto Sans"/>
        </w:rPr>
      </w:pPr>
      <w:r>
        <w:rPr>
          <w:rFonts w:ascii="Noto Sans" w:hAnsi="Noto Sans"/>
          <w:i/>
        </w:rPr>
        <w:t>Use the evidence column to record where the answer can be verified - not merely who remembers it.</w:t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1. Intake and initial risk review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0"/>
        <w:gridCol w:w="3386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6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Business purpose and expected outcome are documented.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 named business sponsor owns the relationship.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The service, systems, data, and operational dependencies are in scope.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Inherent risk and criticality are tiered using consistent criteria.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Security, privacy, legal, compliance, resilience, and procurement reviews are routed as needed.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2. Contract and control requirements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0"/>
        <w:gridCol w:w="3386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6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Required security and privacy controls are written into the agreement.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Technical access, authentication, logging, notification, and audit expectations are defined.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Data location, retention, return, and destruction obligations are documented.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Subcontractor or fourth-party expectations are addressed.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Termination, transition assistance, and offboarding duties are defined.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3. Onboarding and access provisioning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0"/>
        <w:gridCol w:w="3386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6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Only the approved access path is technically available.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Accounts are individually attributable; shared credentials are avoided or tightly governed.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Least privilege, segmentation, time limits, and approval conditions are applied.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Logging and monitoring are working before production use.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Asset, service, data, and access owners are recorded in systems of record.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4. Monitoring and periodic review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0"/>
        <w:gridCol w:w="3386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6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Monitoring can map activity to the vendor, business purpose, owner, and approved scope.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Control evidence is reviewed at a cadence appropriate to risk.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Material changes, incidents, ownership changes, and scope expansion trigger reassessment.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Access and exceptions are periodically revalidated.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Findings have owners, target dates, and documented closure evidence.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5. Exception governance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0"/>
        <w:gridCol w:w="3386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6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The business need and standard-control gap are documented.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Compensating controls reduce the identified risk.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 named business owner accepts residual risk.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Scope, systems, users, traffic, data, and time boundaries are explicit.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The exception has monitoring requirements, review cadence, and an expiration date.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6. Renewal, change, and offboarding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0"/>
        <w:gridCol w:w="3386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0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6" w:type="dxa"/>
            <w:tcBorders/>
            <w:shd w:fill="1720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Renewal includes risk and access revalidation, not only commercial approval.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Material changes are reviewed before implementation.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Accounts, keys, tokens, network paths, integrations, and data access are removed or transferred.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Data return or destruction is verified where required.</w:t>
            </w:r>
          </w:p>
        </w:tc>
        <w:tc>
          <w:tcPr>
            <w:tcW w:w="3386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Closure evidence confirms that access and obligations ended as intended.</w:t>
            </w:r>
          </w:p>
        </w:tc>
        <w:tc>
          <w:tcPr>
            <w:tcW w:w="3386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Noto Sans" w:hAnsi="Noto Sans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Final validation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>
          <w:rFonts w:ascii="Noto Sans" w:hAnsi="Noto Sans"/>
        </w:rPr>
      </w:pPr>
      <w:r>
        <w:rPr>
          <w:rFonts w:ascii="Noto Sans" w:hAnsi="Noto Sans"/>
          <w:b/>
        </w:rPr>
        <w:t xml:space="preserve">Can the organization prove: </w:t>
      </w:r>
      <w:r>
        <w:rPr>
          <w:rFonts w:ascii="Noto Sans" w:hAnsi="Noto Sans"/>
        </w:rPr>
        <w:t>what was approved, who owns it, how it is monitored, when it is reviewed, and how it will end?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893" w:right="893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Inter" w:hAnsi="Inter" w:eastAsia="Inter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72033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3</Pages>
  <Words>486</Words>
  <Characters>3641</Characters>
  <CharactersWithSpaces>4006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2026-07-27T13:44:20Z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