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40"/>
        <w:contextualSpacing/>
        <w:rPr/>
      </w:pPr>
      <w:r>
        <w:rPr/>
        <w:t>Vendor Access and Offboarding Checklist</w:t>
      </w:r>
    </w:p>
    <w:p>
      <w:pPr>
        <w:pStyle w:val="Normal"/>
        <w:spacing w:before="0" w:after="180"/>
        <w:rPr>
          <w:rFonts w:ascii="Noto Sans" w:hAnsi="Noto Sans"/>
        </w:rPr>
      </w:pPr>
      <w:r>
        <w:rPr>
          <w:rFonts w:ascii="Noto Sans" w:hAnsi="Noto Sans"/>
          <w:color w:val="667085"/>
          <w:sz w:val="20"/>
        </w:rPr>
        <w:t>A practical control sheet for provisioning, reviewing, and removing third-party access.</w:t>
      </w:r>
    </w:p>
    <w:tbl>
      <w:tblPr>
        <w:tblW w:w="10296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noHBand="0" w:noVBand="1" w:firstColumn="1" w:lastRow="0" w:lastColumn="0" w:firstRow="1" w:val="04a0"/>
      </w:tblPr>
      <w:tblGrid>
        <w:gridCol w:w="10296"/>
      </w:tblGrid>
      <w:tr>
        <w:trPr/>
        <w:tc>
          <w:tcPr>
            <w:tcW w:w="10296" w:type="dxa"/>
            <w:tcBorders/>
            <w:shd w:fill="F47B20" w:val="clear"/>
          </w:tcPr>
          <w:p>
            <w:pPr>
              <w:pStyle w:val="Normal"/>
              <w:spacing w:before="0" w:after="200"/>
              <w:rPr>
                <w:rFonts w:ascii="Noto Sans" w:hAnsi="Noto Sans"/>
              </w:rPr>
            </w:pPr>
            <w:r>
              <w:rPr>
                <w:rFonts w:ascii="Noto Sans" w:hAnsi="Noto Sans"/>
              </w:rPr>
            </w:r>
          </w:p>
        </w:tc>
      </w:tr>
      <w:tr>
        <w:trPr/>
        <w:tc>
          <w:tcPr>
            <w:tcW w:w="10296" w:type="dxa"/>
            <w:tcBorders/>
            <w:shd w:fill="0E7C86" w:val="clear"/>
          </w:tcPr>
          <w:p>
            <w:pPr>
              <w:pStyle w:val="Normal"/>
              <w:spacing w:before="0" w:after="200"/>
              <w:rPr>
                <w:rFonts w:ascii="Noto Sans" w:hAnsi="Noto Sans"/>
              </w:rPr>
            </w:pPr>
            <w:r>
              <w:rPr>
                <w:rFonts w:ascii="Noto Sans" w:hAnsi="Noto Sans"/>
              </w:rPr>
            </w:r>
          </w:p>
        </w:tc>
      </w:tr>
    </w:tbl>
    <w:p>
      <w:pPr>
        <w:pStyle w:val="Normal"/>
        <w:spacing w:before="0" w:after="0"/>
        <w:rPr>
          <w:rFonts w:ascii="Noto Sans" w:hAnsi="Noto Sans"/>
        </w:rPr>
      </w:pPr>
      <w:r>
        <w:rPr>
          <w:rFonts w:ascii="Noto Sans" w:hAnsi="Noto Sans"/>
        </w:rPr>
      </w:r>
    </w:p>
    <w:tbl>
      <w:tblPr>
        <w:tblW w:w="10296" w:type="dxa"/>
        <w:jc w:val="center"/>
        <w:tblInd w:w="0" w:type="dxa"/>
        <w:tblLayout w:type="fixed"/>
        <w:tblCellMar>
          <w:top w:w="95" w:type="dxa"/>
          <w:start w:w="120" w:type="dxa"/>
          <w:bottom w:w="95" w:type="dxa"/>
          <w:end w:w="120" w:type="dxa"/>
        </w:tblCellMar>
        <w:tblLook w:noHBand="0" w:noVBand="1" w:firstColumn="1" w:lastRow="0" w:lastColumn="0" w:firstRow="1" w:val="04a0"/>
      </w:tblPr>
      <w:tblGrid>
        <w:gridCol w:w="10296"/>
      </w:tblGrid>
      <w:tr>
        <w:trPr/>
        <w:tc>
          <w:tcPr>
            <w:tcW w:w="10296" w:type="dxa"/>
            <w:tcBorders/>
            <w:shd w:fill="FFF1E7" w:val="clear"/>
          </w:tcPr>
          <w:p>
            <w:pPr>
              <w:pStyle w:val="Normal"/>
              <w:spacing w:before="0" w:after="200"/>
              <w:rPr>
                <w:rFonts w:ascii="Noto Sans" w:hAnsi="Noto Sans"/>
              </w:rPr>
            </w:pPr>
            <w:r>
              <w:rPr>
                <w:rFonts w:ascii="Noto Sans" w:hAnsi="Noto Sans"/>
                <w:b/>
                <w:color w:val="F47B20"/>
                <w:sz w:val="22"/>
              </w:rPr>
              <w:t>Before access is created</w:t>
            </w:r>
          </w:p>
        </w:tc>
      </w:tr>
    </w:tbl>
    <w:p>
      <w:pPr>
        <w:pStyle w:val="Normal"/>
        <w:spacing w:before="0" w:after="0"/>
        <w:rPr>
          <w:rFonts w:ascii="Noto Sans" w:hAnsi="Noto Sans"/>
        </w:rPr>
      </w:pPr>
      <w:r>
        <w:rPr>
          <w:rFonts w:ascii="Noto Sans" w:hAnsi="Noto Sans"/>
        </w:rPr>
      </w:r>
    </w:p>
    <w:tbl>
      <w:tblPr>
        <w:tblStyle w:val="TableGrid"/>
        <w:tblW w:w="10296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noHBand="0" w:noVBand="1" w:firstColumn="1" w:lastRow="0" w:lastColumn="0" w:firstRow="1" w:val="04a0"/>
      </w:tblPr>
      <w:tblGrid>
        <w:gridCol w:w="810"/>
        <w:gridCol w:w="6101"/>
        <w:gridCol w:w="3385"/>
      </w:tblGrid>
      <w:tr>
        <w:trPr/>
        <w:tc>
          <w:tcPr>
            <w:tcW w:w="810" w:type="dxa"/>
            <w:tcBorders/>
            <w:shd w:fill="1720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color w:val="F47B20"/>
                <w:kern w:val="0"/>
                <w:sz w:val="17"/>
                <w:szCs w:val="22"/>
                <w:lang w:val="en-US" w:eastAsia="en-US" w:bidi="ar-SA"/>
              </w:rPr>
              <w:t>Check</w:t>
            </w:r>
          </w:p>
        </w:tc>
        <w:tc>
          <w:tcPr>
            <w:tcW w:w="6101" w:type="dxa"/>
            <w:tcBorders/>
            <w:shd w:fill="1720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color w:val="F47B20"/>
                <w:kern w:val="0"/>
                <w:sz w:val="17"/>
                <w:szCs w:val="22"/>
                <w:lang w:val="en-US" w:eastAsia="en-US" w:bidi="ar-SA"/>
              </w:rPr>
              <w:t>Question / control</w:t>
            </w:r>
          </w:p>
        </w:tc>
        <w:tc>
          <w:tcPr>
            <w:tcW w:w="3385" w:type="dxa"/>
            <w:tcBorders/>
            <w:shd w:fill="1720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color w:val="F47B20"/>
                <w:kern w:val="0"/>
                <w:sz w:val="17"/>
                <w:szCs w:val="22"/>
                <w:lang w:val="en-US" w:eastAsia="en-US" w:bidi="ar-SA"/>
              </w:rPr>
              <w:t>Evidence or owner</w:t>
            </w:r>
          </w:p>
        </w:tc>
      </w:tr>
      <w:tr>
        <w:trPr/>
        <w:tc>
          <w:tcPr>
            <w:tcW w:w="810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24"/>
                <w:szCs w:val="22"/>
                <w:lang w:val="en-US" w:eastAsia="en-US" w:bidi="ar-SA"/>
              </w:rPr>
              <w:t>☐</w:t>
            </w:r>
          </w:p>
        </w:tc>
        <w:tc>
          <w:tcPr>
            <w:tcW w:w="6101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18"/>
                <w:szCs w:val="22"/>
                <w:lang w:val="en-US" w:eastAsia="en-US" w:bidi="ar-SA"/>
              </w:rPr>
              <w:t>Business need, service owner, technical owner, and vendor contact are documented.</w:t>
            </w:r>
          </w:p>
        </w:tc>
        <w:tc>
          <w:tcPr>
            <w:tcW w:w="3385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16"/>
                <w:szCs w:val="22"/>
                <w:lang w:val="en-US" w:eastAsia="en-US" w:bidi="ar-SA"/>
              </w:rPr>
              <w:t>________________________________</w:t>
            </w:r>
          </w:p>
        </w:tc>
      </w:tr>
      <w:tr>
        <w:trPr/>
        <w:tc>
          <w:tcPr>
            <w:tcW w:w="810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24"/>
                <w:szCs w:val="22"/>
                <w:lang w:val="en-US" w:eastAsia="en-US" w:bidi="ar-SA"/>
              </w:rPr>
              <w:t>☐</w:t>
            </w:r>
          </w:p>
        </w:tc>
        <w:tc>
          <w:tcPr>
            <w:tcW w:w="6101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18"/>
                <w:szCs w:val="22"/>
                <w:lang w:val="en-US" w:eastAsia="en-US" w:bidi="ar-SA"/>
              </w:rPr>
              <w:t>Approved systems, data, functions, source locations, destination locations, protocols, and hours are defined.</w:t>
            </w:r>
          </w:p>
        </w:tc>
        <w:tc>
          <w:tcPr>
            <w:tcW w:w="3385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16"/>
                <w:szCs w:val="22"/>
                <w:lang w:val="en-US" w:eastAsia="en-US" w:bidi="ar-SA"/>
              </w:rPr>
              <w:t>________________________________</w:t>
            </w:r>
          </w:p>
        </w:tc>
      </w:tr>
      <w:tr>
        <w:trPr/>
        <w:tc>
          <w:tcPr>
            <w:tcW w:w="810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24"/>
                <w:szCs w:val="22"/>
                <w:lang w:val="en-US" w:eastAsia="en-US" w:bidi="ar-SA"/>
              </w:rPr>
              <w:t>☐</w:t>
            </w:r>
          </w:p>
        </w:tc>
        <w:tc>
          <w:tcPr>
            <w:tcW w:w="6101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18"/>
                <w:szCs w:val="22"/>
                <w:lang w:val="en-US" w:eastAsia="en-US" w:bidi="ar-SA"/>
              </w:rPr>
              <w:t>The approved access method is selected and alternate paths are blocked or governed.</w:t>
            </w:r>
          </w:p>
        </w:tc>
        <w:tc>
          <w:tcPr>
            <w:tcW w:w="3385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16"/>
                <w:szCs w:val="22"/>
                <w:lang w:val="en-US" w:eastAsia="en-US" w:bidi="ar-SA"/>
              </w:rPr>
              <w:t>________________________________</w:t>
            </w:r>
          </w:p>
        </w:tc>
      </w:tr>
      <w:tr>
        <w:trPr/>
        <w:tc>
          <w:tcPr>
            <w:tcW w:w="810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24"/>
                <w:szCs w:val="22"/>
                <w:lang w:val="en-US" w:eastAsia="en-US" w:bidi="ar-SA"/>
              </w:rPr>
              <w:t>☐</w:t>
            </w:r>
          </w:p>
        </w:tc>
        <w:tc>
          <w:tcPr>
            <w:tcW w:w="6101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18"/>
                <w:szCs w:val="22"/>
                <w:lang w:val="en-US" w:eastAsia="en-US" w:bidi="ar-SA"/>
              </w:rPr>
              <w:t>Identity proofing, named accounts, MFA, credential handling, and privileged access requirements are defined.</w:t>
            </w:r>
          </w:p>
        </w:tc>
        <w:tc>
          <w:tcPr>
            <w:tcW w:w="3385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16"/>
                <w:szCs w:val="22"/>
                <w:lang w:val="en-US" w:eastAsia="en-US" w:bidi="ar-SA"/>
              </w:rPr>
              <w:t>________________________________</w:t>
            </w:r>
          </w:p>
        </w:tc>
      </w:tr>
      <w:tr>
        <w:trPr/>
        <w:tc>
          <w:tcPr>
            <w:tcW w:w="810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24"/>
                <w:szCs w:val="22"/>
                <w:lang w:val="en-US" w:eastAsia="en-US" w:bidi="ar-SA"/>
              </w:rPr>
              <w:t>☐</w:t>
            </w:r>
          </w:p>
        </w:tc>
        <w:tc>
          <w:tcPr>
            <w:tcW w:w="6101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18"/>
                <w:szCs w:val="22"/>
                <w:lang w:val="en-US" w:eastAsia="en-US" w:bidi="ar-SA"/>
              </w:rPr>
              <w:t>Least privilege and time-bound access are configured.</w:t>
            </w:r>
          </w:p>
        </w:tc>
        <w:tc>
          <w:tcPr>
            <w:tcW w:w="3385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16"/>
                <w:szCs w:val="22"/>
                <w:lang w:val="en-US" w:eastAsia="en-US" w:bidi="ar-SA"/>
              </w:rPr>
              <w:t>________________________________</w:t>
            </w:r>
          </w:p>
        </w:tc>
      </w:tr>
      <w:tr>
        <w:trPr/>
        <w:tc>
          <w:tcPr>
            <w:tcW w:w="810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24"/>
                <w:szCs w:val="22"/>
                <w:lang w:val="en-US" w:eastAsia="en-US" w:bidi="ar-SA"/>
              </w:rPr>
              <w:t>☐</w:t>
            </w:r>
          </w:p>
        </w:tc>
        <w:tc>
          <w:tcPr>
            <w:tcW w:w="6101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18"/>
                <w:szCs w:val="22"/>
                <w:lang w:val="en-US" w:eastAsia="en-US" w:bidi="ar-SA"/>
              </w:rPr>
              <w:t>Segmentation and deny-by-default rules are applied where appropriate.</w:t>
            </w:r>
          </w:p>
        </w:tc>
        <w:tc>
          <w:tcPr>
            <w:tcW w:w="3385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16"/>
                <w:szCs w:val="22"/>
                <w:lang w:val="en-US" w:eastAsia="en-US" w:bidi="ar-SA"/>
              </w:rPr>
              <w:t>________________________________</w:t>
            </w:r>
          </w:p>
        </w:tc>
      </w:tr>
      <w:tr>
        <w:trPr/>
        <w:tc>
          <w:tcPr>
            <w:tcW w:w="810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24"/>
                <w:szCs w:val="22"/>
                <w:lang w:val="en-US" w:eastAsia="en-US" w:bidi="ar-SA"/>
              </w:rPr>
              <w:t>☐</w:t>
            </w:r>
          </w:p>
        </w:tc>
        <w:tc>
          <w:tcPr>
            <w:tcW w:w="6101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18"/>
                <w:szCs w:val="22"/>
                <w:lang w:val="en-US" w:eastAsia="en-US" w:bidi="ar-SA"/>
              </w:rPr>
              <w:t>Session, authentication, administrative, and data-access logging are enabled.</w:t>
            </w:r>
          </w:p>
        </w:tc>
        <w:tc>
          <w:tcPr>
            <w:tcW w:w="3385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16"/>
                <w:szCs w:val="22"/>
                <w:lang w:val="en-US" w:eastAsia="en-US" w:bidi="ar-SA"/>
              </w:rPr>
              <w:t>________________________________</w:t>
            </w:r>
          </w:p>
        </w:tc>
      </w:tr>
      <w:tr>
        <w:trPr/>
        <w:tc>
          <w:tcPr>
            <w:tcW w:w="810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24"/>
                <w:szCs w:val="22"/>
                <w:lang w:val="en-US" w:eastAsia="en-US" w:bidi="ar-SA"/>
              </w:rPr>
              <w:t>☐</w:t>
            </w:r>
          </w:p>
        </w:tc>
        <w:tc>
          <w:tcPr>
            <w:tcW w:w="6101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18"/>
                <w:szCs w:val="22"/>
                <w:lang w:val="en-US" w:eastAsia="en-US" w:bidi="ar-SA"/>
              </w:rPr>
              <w:t>Monitoring owner, alert route, review cadence, and escalation path are assigned.</w:t>
            </w:r>
          </w:p>
        </w:tc>
        <w:tc>
          <w:tcPr>
            <w:tcW w:w="3385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16"/>
                <w:szCs w:val="22"/>
                <w:lang w:val="en-US" w:eastAsia="en-US" w:bidi="ar-SA"/>
              </w:rPr>
              <w:t>________________________________</w:t>
            </w:r>
          </w:p>
        </w:tc>
      </w:tr>
      <w:tr>
        <w:trPr/>
        <w:tc>
          <w:tcPr>
            <w:tcW w:w="810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24"/>
                <w:szCs w:val="22"/>
                <w:lang w:val="en-US" w:eastAsia="en-US" w:bidi="ar-SA"/>
              </w:rPr>
              <w:t>☐</w:t>
            </w:r>
          </w:p>
        </w:tc>
        <w:tc>
          <w:tcPr>
            <w:tcW w:w="6101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18"/>
                <w:szCs w:val="22"/>
                <w:lang w:val="en-US" w:eastAsia="en-US" w:bidi="ar-SA"/>
              </w:rPr>
              <w:t>Expiration date and emergency revocation process are documented.</w:t>
            </w:r>
          </w:p>
        </w:tc>
        <w:tc>
          <w:tcPr>
            <w:tcW w:w="3385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16"/>
                <w:szCs w:val="22"/>
                <w:lang w:val="en-US" w:eastAsia="en-US" w:bidi="ar-SA"/>
              </w:rPr>
              <w:t>________________________________</w:t>
            </w:r>
          </w:p>
        </w:tc>
      </w:tr>
      <w:tr>
        <w:trPr/>
        <w:tc>
          <w:tcPr>
            <w:tcW w:w="810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24"/>
                <w:szCs w:val="22"/>
                <w:lang w:val="en-US" w:eastAsia="en-US" w:bidi="ar-SA"/>
              </w:rPr>
              <w:t>☐</w:t>
            </w:r>
          </w:p>
        </w:tc>
        <w:tc>
          <w:tcPr>
            <w:tcW w:w="6101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18"/>
                <w:szCs w:val="22"/>
                <w:lang w:val="en-US" w:eastAsia="en-US" w:bidi="ar-SA"/>
              </w:rPr>
              <w:t>Access is tested and formally approved before production use.</w:t>
            </w:r>
          </w:p>
        </w:tc>
        <w:tc>
          <w:tcPr>
            <w:tcW w:w="3385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16"/>
                <w:szCs w:val="22"/>
                <w:lang w:val="en-US" w:eastAsia="en-US" w:bidi="ar-SA"/>
              </w:rPr>
              <w:t>________________________________</w:t>
            </w:r>
          </w:p>
        </w:tc>
      </w:tr>
    </w:tbl>
    <w:p>
      <w:pPr>
        <w:pStyle w:val="Normal"/>
        <w:rPr>
          <w:rFonts w:ascii="Noto Sans" w:hAnsi="Noto Sans"/>
        </w:rPr>
      </w:pPr>
      <w:r>
        <w:rPr>
          <w:rFonts w:ascii="Noto Sans" w:hAnsi="Noto Sans"/>
        </w:rPr>
      </w:r>
    </w:p>
    <w:tbl>
      <w:tblPr>
        <w:tblW w:w="10296" w:type="dxa"/>
        <w:jc w:val="center"/>
        <w:tblInd w:w="0" w:type="dxa"/>
        <w:tblLayout w:type="fixed"/>
        <w:tblCellMar>
          <w:top w:w="95" w:type="dxa"/>
          <w:start w:w="120" w:type="dxa"/>
          <w:bottom w:w="95" w:type="dxa"/>
          <w:end w:w="120" w:type="dxa"/>
        </w:tblCellMar>
        <w:tblLook w:noHBand="0" w:noVBand="1" w:firstColumn="1" w:lastRow="0" w:lastColumn="0" w:firstRow="1" w:val="04a0"/>
      </w:tblPr>
      <w:tblGrid>
        <w:gridCol w:w="10296"/>
      </w:tblGrid>
      <w:tr>
        <w:trPr/>
        <w:tc>
          <w:tcPr>
            <w:tcW w:w="10296" w:type="dxa"/>
            <w:tcBorders/>
            <w:shd w:fill="FFF1E7" w:val="clear"/>
          </w:tcPr>
          <w:p>
            <w:pPr>
              <w:pStyle w:val="Normal"/>
              <w:spacing w:before="0" w:after="200"/>
              <w:rPr>
                <w:rFonts w:ascii="Noto Sans" w:hAnsi="Noto Sans"/>
              </w:rPr>
            </w:pPr>
            <w:r>
              <w:rPr>
                <w:rFonts w:ascii="Noto Sans" w:hAnsi="Noto Sans"/>
                <w:b/>
                <w:color w:val="F47B20"/>
                <w:sz w:val="22"/>
              </w:rPr>
              <w:t>During the relationship</w:t>
            </w:r>
          </w:p>
        </w:tc>
      </w:tr>
    </w:tbl>
    <w:p>
      <w:pPr>
        <w:pStyle w:val="Normal"/>
        <w:spacing w:before="0" w:after="0"/>
        <w:rPr>
          <w:rFonts w:ascii="Noto Sans" w:hAnsi="Noto Sans"/>
        </w:rPr>
      </w:pPr>
      <w:r>
        <w:rPr>
          <w:rFonts w:ascii="Noto Sans" w:hAnsi="Noto Sans"/>
        </w:rPr>
      </w:r>
    </w:p>
    <w:tbl>
      <w:tblPr>
        <w:tblStyle w:val="TableGrid"/>
        <w:tblW w:w="10296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noHBand="0" w:noVBand="1" w:firstColumn="1" w:lastRow="0" w:lastColumn="0" w:firstRow="1" w:val="04a0"/>
      </w:tblPr>
      <w:tblGrid>
        <w:gridCol w:w="810"/>
        <w:gridCol w:w="6101"/>
        <w:gridCol w:w="3385"/>
      </w:tblGrid>
      <w:tr>
        <w:trPr/>
        <w:tc>
          <w:tcPr>
            <w:tcW w:w="810" w:type="dxa"/>
            <w:tcBorders/>
            <w:shd w:fill="1720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color w:val="F47B20"/>
                <w:kern w:val="0"/>
                <w:sz w:val="17"/>
                <w:szCs w:val="22"/>
                <w:lang w:val="en-US" w:eastAsia="en-US" w:bidi="ar-SA"/>
              </w:rPr>
              <w:t>Check</w:t>
            </w:r>
          </w:p>
        </w:tc>
        <w:tc>
          <w:tcPr>
            <w:tcW w:w="6101" w:type="dxa"/>
            <w:tcBorders/>
            <w:shd w:fill="1720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color w:val="F47B20"/>
                <w:kern w:val="0"/>
                <w:sz w:val="17"/>
                <w:szCs w:val="22"/>
                <w:lang w:val="en-US" w:eastAsia="en-US" w:bidi="ar-SA"/>
              </w:rPr>
              <w:t>Question / control</w:t>
            </w:r>
          </w:p>
        </w:tc>
        <w:tc>
          <w:tcPr>
            <w:tcW w:w="3385" w:type="dxa"/>
            <w:tcBorders/>
            <w:shd w:fill="1720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color w:val="F47B20"/>
                <w:kern w:val="0"/>
                <w:sz w:val="17"/>
                <w:szCs w:val="22"/>
                <w:lang w:val="en-US" w:eastAsia="en-US" w:bidi="ar-SA"/>
              </w:rPr>
              <w:t>Evidence or owner</w:t>
            </w:r>
          </w:p>
        </w:tc>
      </w:tr>
      <w:tr>
        <w:trPr/>
        <w:tc>
          <w:tcPr>
            <w:tcW w:w="810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24"/>
                <w:szCs w:val="22"/>
                <w:lang w:val="en-US" w:eastAsia="en-US" w:bidi="ar-SA"/>
              </w:rPr>
              <w:t>☐</w:t>
            </w:r>
          </w:p>
        </w:tc>
        <w:tc>
          <w:tcPr>
            <w:tcW w:w="6101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18"/>
                <w:szCs w:val="22"/>
                <w:lang w:val="en-US" w:eastAsia="en-US" w:bidi="ar-SA"/>
              </w:rPr>
              <w:t>Access remains aligned to current users, systems, tasks, and business need.</w:t>
            </w:r>
          </w:p>
        </w:tc>
        <w:tc>
          <w:tcPr>
            <w:tcW w:w="3385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16"/>
                <w:szCs w:val="22"/>
                <w:lang w:val="en-US" w:eastAsia="en-US" w:bidi="ar-SA"/>
              </w:rPr>
              <w:t>________________________________</w:t>
            </w:r>
          </w:p>
        </w:tc>
      </w:tr>
      <w:tr>
        <w:trPr/>
        <w:tc>
          <w:tcPr>
            <w:tcW w:w="810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24"/>
                <w:szCs w:val="22"/>
                <w:lang w:val="en-US" w:eastAsia="en-US" w:bidi="ar-SA"/>
              </w:rPr>
              <w:t>☐</w:t>
            </w:r>
          </w:p>
        </w:tc>
        <w:tc>
          <w:tcPr>
            <w:tcW w:w="6101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18"/>
                <w:szCs w:val="22"/>
                <w:lang w:val="en-US" w:eastAsia="en-US" w:bidi="ar-SA"/>
              </w:rPr>
              <w:t>Dormant, shared, generic, or excessive access is identified and corrected.</w:t>
            </w:r>
          </w:p>
        </w:tc>
        <w:tc>
          <w:tcPr>
            <w:tcW w:w="3385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16"/>
                <w:szCs w:val="22"/>
                <w:lang w:val="en-US" w:eastAsia="en-US" w:bidi="ar-SA"/>
              </w:rPr>
              <w:t>________________________________</w:t>
            </w:r>
          </w:p>
        </w:tc>
      </w:tr>
      <w:tr>
        <w:trPr/>
        <w:tc>
          <w:tcPr>
            <w:tcW w:w="810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24"/>
                <w:szCs w:val="22"/>
                <w:lang w:val="en-US" w:eastAsia="en-US" w:bidi="ar-SA"/>
              </w:rPr>
              <w:t>☐</w:t>
            </w:r>
          </w:p>
        </w:tc>
        <w:tc>
          <w:tcPr>
            <w:tcW w:w="6101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18"/>
                <w:szCs w:val="22"/>
                <w:lang w:val="en-US" w:eastAsia="en-US" w:bidi="ar-SA"/>
              </w:rPr>
              <w:t>Vendor personnel changes trigger account review.</w:t>
            </w:r>
          </w:p>
        </w:tc>
        <w:tc>
          <w:tcPr>
            <w:tcW w:w="3385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16"/>
                <w:szCs w:val="22"/>
                <w:lang w:val="en-US" w:eastAsia="en-US" w:bidi="ar-SA"/>
              </w:rPr>
              <w:t>________________________________</w:t>
            </w:r>
          </w:p>
        </w:tc>
      </w:tr>
      <w:tr>
        <w:trPr/>
        <w:tc>
          <w:tcPr>
            <w:tcW w:w="810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24"/>
                <w:szCs w:val="22"/>
                <w:lang w:val="en-US" w:eastAsia="en-US" w:bidi="ar-SA"/>
              </w:rPr>
              <w:t>☐</w:t>
            </w:r>
          </w:p>
        </w:tc>
        <w:tc>
          <w:tcPr>
            <w:tcW w:w="6101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18"/>
                <w:szCs w:val="22"/>
                <w:lang w:val="en-US" w:eastAsia="en-US" w:bidi="ar-SA"/>
              </w:rPr>
              <w:t>Changes to service scope, architecture, data, ownership, or subcontractors trigger reassessment.</w:t>
            </w:r>
          </w:p>
        </w:tc>
        <w:tc>
          <w:tcPr>
            <w:tcW w:w="3385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16"/>
                <w:szCs w:val="22"/>
                <w:lang w:val="en-US" w:eastAsia="en-US" w:bidi="ar-SA"/>
              </w:rPr>
              <w:t>________________________________</w:t>
            </w:r>
          </w:p>
        </w:tc>
      </w:tr>
      <w:tr>
        <w:trPr/>
        <w:tc>
          <w:tcPr>
            <w:tcW w:w="810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24"/>
                <w:szCs w:val="22"/>
                <w:lang w:val="en-US" w:eastAsia="en-US" w:bidi="ar-SA"/>
              </w:rPr>
              <w:t>☐</w:t>
            </w:r>
          </w:p>
        </w:tc>
        <w:tc>
          <w:tcPr>
            <w:tcW w:w="6101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18"/>
                <w:szCs w:val="22"/>
                <w:lang w:val="en-US" w:eastAsia="en-US" w:bidi="ar-SA"/>
              </w:rPr>
              <w:t>Alerts can be interpreted using current owner, asset, contract, and exception context.</w:t>
            </w:r>
          </w:p>
        </w:tc>
        <w:tc>
          <w:tcPr>
            <w:tcW w:w="3385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16"/>
                <w:szCs w:val="22"/>
                <w:lang w:val="en-US" w:eastAsia="en-US" w:bidi="ar-SA"/>
              </w:rPr>
              <w:t>________________________________</w:t>
            </w:r>
          </w:p>
        </w:tc>
      </w:tr>
      <w:tr>
        <w:trPr/>
        <w:tc>
          <w:tcPr>
            <w:tcW w:w="810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24"/>
                <w:szCs w:val="22"/>
                <w:lang w:val="en-US" w:eastAsia="en-US" w:bidi="ar-SA"/>
              </w:rPr>
              <w:t>☐</w:t>
            </w:r>
          </w:p>
        </w:tc>
        <w:tc>
          <w:tcPr>
            <w:tcW w:w="6101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18"/>
                <w:szCs w:val="22"/>
                <w:lang w:val="en-US" w:eastAsia="en-US" w:bidi="ar-SA"/>
              </w:rPr>
              <w:t>Exceptions and compensating controls remain effective and unexpired.</w:t>
            </w:r>
          </w:p>
        </w:tc>
        <w:tc>
          <w:tcPr>
            <w:tcW w:w="3385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16"/>
                <w:szCs w:val="22"/>
                <w:lang w:val="en-US" w:eastAsia="en-US" w:bidi="ar-SA"/>
              </w:rPr>
              <w:t>________________________________</w:t>
            </w:r>
          </w:p>
        </w:tc>
      </w:tr>
      <w:tr>
        <w:trPr/>
        <w:tc>
          <w:tcPr>
            <w:tcW w:w="810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24"/>
                <w:szCs w:val="22"/>
                <w:lang w:val="en-US" w:eastAsia="en-US" w:bidi="ar-SA"/>
              </w:rPr>
              <w:t>☐</w:t>
            </w:r>
          </w:p>
        </w:tc>
        <w:tc>
          <w:tcPr>
            <w:tcW w:w="6101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18"/>
                <w:szCs w:val="22"/>
                <w:lang w:val="en-US" w:eastAsia="en-US" w:bidi="ar-SA"/>
              </w:rPr>
              <w:t>Evidence of reviews and remediation is retained in a system of record.</w:t>
            </w:r>
          </w:p>
        </w:tc>
        <w:tc>
          <w:tcPr>
            <w:tcW w:w="3385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16"/>
                <w:szCs w:val="22"/>
                <w:lang w:val="en-US" w:eastAsia="en-US" w:bidi="ar-SA"/>
              </w:rPr>
              <w:t>________________________________</w:t>
            </w:r>
          </w:p>
        </w:tc>
      </w:tr>
    </w:tbl>
    <w:p>
      <w:pPr>
        <w:pStyle w:val="Normal"/>
        <w:rPr>
          <w:rFonts w:ascii="Noto Sans" w:hAnsi="Noto Sans"/>
        </w:rPr>
      </w:pPr>
      <w:r>
        <w:rPr>
          <w:rFonts w:ascii="Noto Sans" w:hAnsi="Noto Sans"/>
        </w:rPr>
      </w:r>
    </w:p>
    <w:tbl>
      <w:tblPr>
        <w:tblW w:w="10296" w:type="dxa"/>
        <w:jc w:val="center"/>
        <w:tblInd w:w="0" w:type="dxa"/>
        <w:tblLayout w:type="fixed"/>
        <w:tblCellMar>
          <w:top w:w="95" w:type="dxa"/>
          <w:start w:w="120" w:type="dxa"/>
          <w:bottom w:w="95" w:type="dxa"/>
          <w:end w:w="120" w:type="dxa"/>
        </w:tblCellMar>
        <w:tblLook w:noHBand="0" w:noVBand="1" w:firstColumn="1" w:lastRow="0" w:lastColumn="0" w:firstRow="1" w:val="04a0"/>
      </w:tblPr>
      <w:tblGrid>
        <w:gridCol w:w="10296"/>
      </w:tblGrid>
      <w:tr>
        <w:trPr/>
        <w:tc>
          <w:tcPr>
            <w:tcW w:w="10296" w:type="dxa"/>
            <w:tcBorders/>
            <w:shd w:fill="FFF1E7" w:val="clear"/>
          </w:tcPr>
          <w:p>
            <w:pPr>
              <w:pStyle w:val="Normal"/>
              <w:spacing w:before="0" w:after="200"/>
              <w:rPr>
                <w:rFonts w:ascii="Noto Sans" w:hAnsi="Noto Sans"/>
              </w:rPr>
            </w:pPr>
            <w:r>
              <w:rPr>
                <w:rFonts w:ascii="Noto Sans" w:hAnsi="Noto Sans"/>
                <w:b/>
                <w:color w:val="F47B20"/>
                <w:sz w:val="22"/>
              </w:rPr>
              <w:t>Offboarding or access termination</w:t>
            </w:r>
          </w:p>
        </w:tc>
      </w:tr>
    </w:tbl>
    <w:p>
      <w:pPr>
        <w:pStyle w:val="Normal"/>
        <w:spacing w:before="0" w:after="0"/>
        <w:rPr>
          <w:rFonts w:ascii="Noto Sans" w:hAnsi="Noto Sans"/>
        </w:rPr>
      </w:pPr>
      <w:r>
        <w:rPr>
          <w:rFonts w:ascii="Noto Sans" w:hAnsi="Noto Sans"/>
        </w:rPr>
      </w:r>
    </w:p>
    <w:tbl>
      <w:tblPr>
        <w:tblStyle w:val="TableGrid"/>
        <w:tblW w:w="10296" w:type="dxa"/>
        <w:jc w:val="center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noHBand="0" w:noVBand="1" w:firstColumn="1" w:lastRow="0" w:lastColumn="0" w:firstRow="1" w:val="04a0"/>
      </w:tblPr>
      <w:tblGrid>
        <w:gridCol w:w="900"/>
        <w:gridCol w:w="6011"/>
        <w:gridCol w:w="3385"/>
      </w:tblGrid>
      <w:tr>
        <w:trPr/>
        <w:tc>
          <w:tcPr>
            <w:tcW w:w="900" w:type="dxa"/>
            <w:tcBorders/>
            <w:shd w:fill="1720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color w:val="F47B20"/>
                <w:kern w:val="0"/>
                <w:sz w:val="17"/>
                <w:szCs w:val="22"/>
                <w:lang w:val="en-US" w:eastAsia="en-US" w:bidi="ar-SA"/>
              </w:rPr>
              <w:t>Check</w:t>
            </w:r>
          </w:p>
        </w:tc>
        <w:tc>
          <w:tcPr>
            <w:tcW w:w="6011" w:type="dxa"/>
            <w:tcBorders/>
            <w:shd w:fill="1720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color w:val="F47B20"/>
                <w:kern w:val="0"/>
                <w:sz w:val="17"/>
                <w:szCs w:val="22"/>
                <w:lang w:val="en-US" w:eastAsia="en-US" w:bidi="ar-SA"/>
              </w:rPr>
              <w:t>Question / control</w:t>
            </w:r>
          </w:p>
        </w:tc>
        <w:tc>
          <w:tcPr>
            <w:tcW w:w="3385" w:type="dxa"/>
            <w:tcBorders/>
            <w:shd w:fill="1720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b/>
                <w:color w:val="F47B20"/>
                <w:kern w:val="0"/>
                <w:sz w:val="17"/>
                <w:szCs w:val="22"/>
                <w:lang w:val="en-US" w:eastAsia="en-US" w:bidi="ar-SA"/>
              </w:rPr>
              <w:t>Evidence or owner</w:t>
            </w:r>
          </w:p>
        </w:tc>
      </w:tr>
      <w:tr>
        <w:trPr/>
        <w:tc>
          <w:tcPr>
            <w:tcW w:w="900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24"/>
                <w:szCs w:val="22"/>
                <w:lang w:val="en-US" w:eastAsia="en-US" w:bidi="ar-SA"/>
              </w:rPr>
              <w:t>☐</w:t>
            </w:r>
          </w:p>
        </w:tc>
        <w:tc>
          <w:tcPr>
            <w:tcW w:w="6011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18"/>
                <w:szCs w:val="22"/>
                <w:lang w:val="en-US" w:eastAsia="en-US" w:bidi="ar-SA"/>
              </w:rPr>
              <w:t>An authoritative termination trigger and effective date are confirmed.</w:t>
            </w:r>
          </w:p>
        </w:tc>
        <w:tc>
          <w:tcPr>
            <w:tcW w:w="3385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16"/>
                <w:szCs w:val="22"/>
                <w:lang w:val="en-US" w:eastAsia="en-US" w:bidi="ar-SA"/>
              </w:rPr>
              <w:t>________________________________</w:t>
            </w:r>
          </w:p>
        </w:tc>
      </w:tr>
      <w:tr>
        <w:trPr/>
        <w:tc>
          <w:tcPr>
            <w:tcW w:w="900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24"/>
                <w:szCs w:val="22"/>
                <w:lang w:val="en-US" w:eastAsia="en-US" w:bidi="ar-SA"/>
              </w:rPr>
              <w:t>☐</w:t>
            </w:r>
          </w:p>
        </w:tc>
        <w:tc>
          <w:tcPr>
            <w:tcW w:w="6011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18"/>
                <w:szCs w:val="22"/>
                <w:lang w:val="en-US" w:eastAsia="en-US" w:bidi="ar-SA"/>
              </w:rPr>
              <w:t>Interactive accounts, service accounts, API keys, certificates, tokens, VPN profiles, and remote-access permissions are revoked.</w:t>
            </w:r>
          </w:p>
        </w:tc>
        <w:tc>
          <w:tcPr>
            <w:tcW w:w="3385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16"/>
                <w:szCs w:val="22"/>
                <w:lang w:val="en-US" w:eastAsia="en-US" w:bidi="ar-SA"/>
              </w:rPr>
              <w:t>________________________________</w:t>
            </w:r>
          </w:p>
        </w:tc>
      </w:tr>
      <w:tr>
        <w:trPr/>
        <w:tc>
          <w:tcPr>
            <w:tcW w:w="900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24"/>
                <w:szCs w:val="22"/>
                <w:lang w:val="en-US" w:eastAsia="en-US" w:bidi="ar-SA"/>
              </w:rPr>
              <w:t>☐</w:t>
            </w:r>
          </w:p>
        </w:tc>
        <w:tc>
          <w:tcPr>
            <w:tcW w:w="6011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18"/>
                <w:szCs w:val="22"/>
                <w:lang w:val="en-US" w:eastAsia="en-US" w:bidi="ar-SA"/>
              </w:rPr>
              <w:t>Firewall rules, allowlists, routes, integrations, forwarding, and delegated administration are removed or transferred.</w:t>
            </w:r>
          </w:p>
        </w:tc>
        <w:tc>
          <w:tcPr>
            <w:tcW w:w="3385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16"/>
                <w:szCs w:val="22"/>
                <w:lang w:val="en-US" w:eastAsia="en-US" w:bidi="ar-SA"/>
              </w:rPr>
              <w:t>________________________________</w:t>
            </w:r>
          </w:p>
        </w:tc>
      </w:tr>
      <w:tr>
        <w:trPr/>
        <w:tc>
          <w:tcPr>
            <w:tcW w:w="900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24"/>
                <w:szCs w:val="22"/>
                <w:lang w:val="en-US" w:eastAsia="en-US" w:bidi="ar-SA"/>
              </w:rPr>
              <w:t>☐</w:t>
            </w:r>
          </w:p>
        </w:tc>
        <w:tc>
          <w:tcPr>
            <w:tcW w:w="6011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18"/>
                <w:szCs w:val="22"/>
                <w:lang w:val="en-US" w:eastAsia="en-US" w:bidi="ar-SA"/>
              </w:rPr>
              <w:t>Vendor-managed devices, software, agents, connectors, and support tooling are removed or disabled.</w:t>
            </w:r>
          </w:p>
        </w:tc>
        <w:tc>
          <w:tcPr>
            <w:tcW w:w="3385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16"/>
                <w:szCs w:val="22"/>
                <w:lang w:val="en-US" w:eastAsia="en-US" w:bidi="ar-SA"/>
              </w:rPr>
              <w:t>________________________________</w:t>
            </w:r>
          </w:p>
        </w:tc>
      </w:tr>
      <w:tr>
        <w:trPr/>
        <w:tc>
          <w:tcPr>
            <w:tcW w:w="900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24"/>
                <w:szCs w:val="22"/>
                <w:lang w:val="en-US" w:eastAsia="en-US" w:bidi="ar-SA"/>
              </w:rPr>
              <w:t>☐</w:t>
            </w:r>
          </w:p>
        </w:tc>
        <w:tc>
          <w:tcPr>
            <w:tcW w:w="6011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18"/>
                <w:szCs w:val="22"/>
                <w:lang w:val="en-US" w:eastAsia="en-US" w:bidi="ar-SA"/>
              </w:rPr>
              <w:t>Data is returned, transferred, retained, or destroyed according to contract and policy.</w:t>
            </w:r>
          </w:p>
        </w:tc>
        <w:tc>
          <w:tcPr>
            <w:tcW w:w="3385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16"/>
                <w:szCs w:val="22"/>
                <w:lang w:val="en-US" w:eastAsia="en-US" w:bidi="ar-SA"/>
              </w:rPr>
              <w:t>________________________________</w:t>
            </w:r>
          </w:p>
        </w:tc>
      </w:tr>
      <w:tr>
        <w:trPr/>
        <w:tc>
          <w:tcPr>
            <w:tcW w:w="900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24"/>
                <w:szCs w:val="22"/>
                <w:lang w:val="en-US" w:eastAsia="en-US" w:bidi="ar-SA"/>
              </w:rPr>
              <w:t>☐</w:t>
            </w:r>
          </w:p>
        </w:tc>
        <w:tc>
          <w:tcPr>
            <w:tcW w:w="6011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18"/>
                <w:szCs w:val="22"/>
                <w:lang w:val="en-US" w:eastAsia="en-US" w:bidi="ar-SA"/>
              </w:rPr>
              <w:t>Open incidents, vulnerabilities, changes, support cases, and legal obligations are reassigned.</w:t>
            </w:r>
          </w:p>
        </w:tc>
        <w:tc>
          <w:tcPr>
            <w:tcW w:w="3385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16"/>
                <w:szCs w:val="22"/>
                <w:lang w:val="en-US" w:eastAsia="en-US" w:bidi="ar-SA"/>
              </w:rPr>
              <w:t>________________________________</w:t>
            </w:r>
          </w:p>
        </w:tc>
      </w:tr>
      <w:tr>
        <w:trPr/>
        <w:tc>
          <w:tcPr>
            <w:tcW w:w="900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24"/>
                <w:szCs w:val="22"/>
                <w:lang w:val="en-US" w:eastAsia="en-US" w:bidi="ar-SA"/>
              </w:rPr>
              <w:t>☐</w:t>
            </w:r>
          </w:p>
        </w:tc>
        <w:tc>
          <w:tcPr>
            <w:tcW w:w="6011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18"/>
                <w:szCs w:val="22"/>
                <w:lang w:val="en-US" w:eastAsia="en-US" w:bidi="ar-SA"/>
              </w:rPr>
              <w:t>Monitoring confirms that post-termination access attempts or residual connectivity do not persist.</w:t>
            </w:r>
          </w:p>
        </w:tc>
        <w:tc>
          <w:tcPr>
            <w:tcW w:w="3385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16"/>
                <w:szCs w:val="22"/>
                <w:lang w:val="en-US" w:eastAsia="en-US" w:bidi="ar-SA"/>
              </w:rPr>
              <w:t>________________________________</w:t>
            </w:r>
          </w:p>
        </w:tc>
      </w:tr>
      <w:tr>
        <w:trPr/>
        <w:tc>
          <w:tcPr>
            <w:tcW w:w="900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24"/>
                <w:szCs w:val="22"/>
                <w:lang w:val="en-US" w:eastAsia="en-US" w:bidi="ar-SA"/>
              </w:rPr>
              <w:t>☐</w:t>
            </w:r>
          </w:p>
        </w:tc>
        <w:tc>
          <w:tcPr>
            <w:tcW w:w="6011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18"/>
                <w:szCs w:val="22"/>
                <w:lang w:val="en-US" w:eastAsia="en-US" w:bidi="ar-SA"/>
              </w:rPr>
              <w:t>The business owner and technical owner verify completion.</w:t>
            </w:r>
          </w:p>
        </w:tc>
        <w:tc>
          <w:tcPr>
            <w:tcW w:w="3385" w:type="dxa"/>
            <w:tcBorders/>
            <w:shd w:fill="F7F8FA" w:val="clear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16"/>
                <w:szCs w:val="22"/>
                <w:lang w:val="en-US" w:eastAsia="en-US" w:bidi="ar-SA"/>
              </w:rPr>
              <w:t>________________________________</w:t>
            </w:r>
          </w:p>
        </w:tc>
      </w:tr>
      <w:tr>
        <w:trPr/>
        <w:tc>
          <w:tcPr>
            <w:tcW w:w="900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24"/>
                <w:szCs w:val="22"/>
                <w:lang w:val="en-US" w:eastAsia="en-US" w:bidi="ar-SA"/>
              </w:rPr>
              <w:t>☐</w:t>
            </w:r>
          </w:p>
        </w:tc>
        <w:tc>
          <w:tcPr>
            <w:tcW w:w="6011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18"/>
                <w:szCs w:val="22"/>
                <w:lang w:val="en-US" w:eastAsia="en-US" w:bidi="ar-SA"/>
              </w:rPr>
              <w:t>Closure evidence is stored with the relationship and exception records.</w:t>
            </w:r>
          </w:p>
        </w:tc>
        <w:tc>
          <w:tcPr>
            <w:tcW w:w="3385" w:type="dxa"/>
            <w:tcBorders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Noto Sans" w:hAnsi="Noto Sans"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Noto Sans" w:hAnsi="Noto Sans"/>
                <w:kern w:val="0"/>
                <w:sz w:val="16"/>
                <w:szCs w:val="22"/>
                <w:lang w:val="en-US" w:eastAsia="en-US" w:bidi="ar-SA"/>
              </w:rPr>
              <w:t>________________________________</w:t>
            </w:r>
          </w:p>
        </w:tc>
      </w:tr>
    </w:tbl>
    <w:p>
      <w:pPr>
        <w:pStyle w:val="Normal"/>
        <w:rPr>
          <w:rFonts w:ascii="Noto Sans" w:hAnsi="Noto Sans"/>
        </w:rPr>
      </w:pPr>
      <w:r>
        <w:rPr>
          <w:rFonts w:ascii="Noto Sans" w:hAnsi="Noto Sans"/>
        </w:rPr>
      </w:r>
    </w:p>
    <w:tbl>
      <w:tblPr>
        <w:tblW w:w="10296" w:type="dxa"/>
        <w:jc w:val="center"/>
        <w:tblInd w:w="0" w:type="dxa"/>
        <w:tblLayout w:type="fixed"/>
        <w:tblCellMar>
          <w:top w:w="95" w:type="dxa"/>
          <w:start w:w="120" w:type="dxa"/>
          <w:bottom w:w="95" w:type="dxa"/>
          <w:end w:w="120" w:type="dxa"/>
        </w:tblCellMar>
        <w:tblLook w:noHBand="0" w:noVBand="1" w:firstColumn="1" w:lastRow="0" w:lastColumn="0" w:firstRow="1" w:val="04a0"/>
      </w:tblPr>
      <w:tblGrid>
        <w:gridCol w:w="10296"/>
      </w:tblGrid>
      <w:tr>
        <w:trPr/>
        <w:tc>
          <w:tcPr>
            <w:tcW w:w="10296" w:type="dxa"/>
            <w:tcBorders/>
            <w:shd w:fill="FFF1E7" w:val="clear"/>
          </w:tcPr>
          <w:p>
            <w:pPr>
              <w:pStyle w:val="Normal"/>
              <w:spacing w:before="0" w:after="200"/>
              <w:rPr>
                <w:rFonts w:ascii="Noto Sans" w:hAnsi="Noto Sans"/>
              </w:rPr>
            </w:pPr>
            <w:r>
              <w:rPr>
                <w:rFonts w:ascii="Noto Sans" w:hAnsi="Noto Sans"/>
                <w:b/>
                <w:color w:val="F47B20"/>
                <w:sz w:val="22"/>
              </w:rPr>
              <w:t>Offboarding proof</w:t>
            </w:r>
          </w:p>
        </w:tc>
      </w:tr>
    </w:tbl>
    <w:p>
      <w:pPr>
        <w:pStyle w:val="Normal"/>
        <w:spacing w:before="0" w:after="0"/>
        <w:rPr>
          <w:rFonts w:ascii="Noto Sans" w:hAnsi="Noto Sans"/>
        </w:rPr>
      </w:pPr>
      <w:r>
        <w:rPr>
          <w:rFonts w:ascii="Noto Sans" w:hAnsi="Noto Sans"/>
        </w:rPr>
      </w:r>
    </w:p>
    <w:p>
      <w:pPr>
        <w:pStyle w:val="Normal"/>
        <w:spacing w:before="0" w:after="200"/>
        <w:rPr>
          <w:rFonts w:ascii="Noto Sans" w:hAnsi="Noto Sans"/>
        </w:rPr>
      </w:pPr>
      <w:r>
        <w:rPr>
          <w:rFonts w:ascii="Noto Sans" w:hAnsi="Noto Sans"/>
          <w:b/>
        </w:rPr>
        <w:t>Do not close the relationship because tasks were assigned. Close it when removal is verified and evidence is retained.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893" w:right="893" w:gutter="0" w:header="0" w:top="792" w:footer="720" w:bottom="79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Inter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Noto Sans"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67085"/>
        <w:sz w:val="15"/>
      </w:rPr>
      <w:t>West Central Tech Conference | Grant Nelson | Public conference resource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67085"/>
        <w:sz w:val="15"/>
      </w:rPr>
      <w:t>West Central Tech Conference | Grant Nelson | Public conference resource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Inter" w:hAnsi="Inter" w:eastAsia="Inter" w:cs="" w:cstheme="minorBidi"/>
      <w:color w:val="auto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720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720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72033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LibreOffice/26.2.5.2$Linux_X86_64 LibreOffice_project/620$Build-2</Application>
  <AppVersion>15.0000</AppVersion>
  <Pages>2</Pages>
  <Words>405</Words>
  <Characters>3204</Characters>
  <CharactersWithSpaces>3514</CharactersWithSpaces>
  <Paragraphs>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2026-07-27T13:43:48Z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