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40"/>
        <w:contextualSpacing/>
        <w:rPr/>
      </w:pPr>
      <w:r>
        <w:rPr/>
        <w:t>Governed Exception Record Template</w:t>
      </w:r>
    </w:p>
    <w:p>
      <w:pPr>
        <w:pStyle w:val="Normal"/>
        <w:spacing w:before="0" w:after="180"/>
        <w:rPr>
          <w:rFonts w:ascii="Noto Sans" w:hAnsi="Noto Sans"/>
        </w:rPr>
      </w:pPr>
      <w:r>
        <w:rPr>
          <w:rFonts w:ascii="Noto Sans" w:hAnsi="Noto Sans"/>
          <w:color w:val="667085"/>
          <w:sz w:val="20"/>
        </w:rPr>
        <w:t>Document the alternate path, boundaries, compensating controls, ownership, monitoring, and expiration.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47B20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</w:tc>
      </w:tr>
      <w:tr>
        <w:trPr/>
        <w:tc>
          <w:tcPr>
            <w:tcW w:w="10296" w:type="dxa"/>
            <w:tcBorders/>
            <w:shd w:fill="0E7C86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Record identification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3023"/>
        <w:gridCol w:w="7273"/>
      </w:tblGrid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Exception title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[Clear name]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Record ID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[System-generated or local identifier]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Draft / Pending / Approved / Expired / Closed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Request date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[Date]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Requested start date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[Date]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Expiration date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[Required date]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Review cadence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[Monthly / Quarterly / Other]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Business and ownership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3023"/>
        <w:gridCol w:w="7273"/>
      </w:tblGrid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Business need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[What outcome requires the exception?]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Business sponsor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[Named owner of benefit and residual risk]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Service owner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[Relationship owner]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Technical owner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[Owner of implementation and removal]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Security reviewer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[Advisor / control reviewer]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Third party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[Use approved record name; public examples may use Vendor A]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Scope and standard-control gap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3023"/>
        <w:gridCol w:w="7273"/>
      </w:tblGrid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Standard requirement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[What should normally be used?]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Reason standard cannot be met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[Specific constraint - not urgency alone]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Systems and services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[Explicit in-scope assets]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Data in scope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[Categories and sensitivity]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Users / identities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[Named roles or accounts]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Connectivity and traffic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[Source, destination, protocol, direction, hours]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Out-of-scope boundaries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[What remains prohibited]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Risk and compensating controls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3023"/>
        <w:gridCol w:w="7273"/>
      </w:tblGrid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Risk statement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Because [condition], there is a risk that [event], resulting in [impact].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Compensating controls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[Isolation, restriction, MFA, monitoring, manual review, etc.]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Residual risk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[What remains after controls?]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Validation evidence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[Test results, configuration evidence, approvals]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Monitoring, review, and termination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3023"/>
        <w:gridCol w:w="7273"/>
      </w:tblGrid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Logging requirements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[What events must be recorded?]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Monitoring owner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[Who reviews and responds?]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Alert / review criteria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[Thresholds and expected behavior]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Immediate revocation triggers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[Incident, ownership change, misuse, expired need, etc.]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Renewal requirements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[Evidence needed before extension]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Removal plan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[Accounts, access paths, integrations, data, tooling]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Closure evidence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[Proof retained when exception ends]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Approval and acceptance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3023"/>
        <w:gridCol w:w="7273"/>
      </w:tblGrid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Business risk owner decision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Approve / Reject / Return for changes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Security recommendation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Support / Support with conditions / Do not support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Approver name and role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[Name / role]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Decision date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[Date]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Conditions of approval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[Mandatory conditions]</w:t>
            </w:r>
          </w:p>
        </w:tc>
      </w:tr>
      <w:tr>
        <w:trPr/>
        <w:tc>
          <w:tcPr>
            <w:tcW w:w="3023" w:type="dxa"/>
            <w:tcBorders/>
            <w:shd w:fill="F7F8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kern w:val="0"/>
                <w:sz w:val="18"/>
                <w:szCs w:val="22"/>
                <w:lang w:val="en-US" w:eastAsia="en-US" w:bidi="ar-SA"/>
              </w:rPr>
              <w:t>Approval evidence location</w:t>
            </w:r>
          </w:p>
        </w:tc>
        <w:tc>
          <w:tcPr>
            <w:tcW w:w="7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color w:val="667085"/>
                <w:kern w:val="0"/>
                <w:sz w:val="18"/>
                <w:szCs w:val="22"/>
                <w:lang w:val="en-US" w:eastAsia="en-US" w:bidi="ar-SA"/>
              </w:rPr>
              <w:t>[System of record]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Minimum governance rule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Normal"/>
        <w:spacing w:before="0" w:after="200"/>
        <w:rPr>
          <w:rFonts w:ascii="Noto Sans" w:hAnsi="Noto Sans"/>
        </w:rPr>
      </w:pPr>
      <w:r>
        <w:rPr>
          <w:rFonts w:ascii="Noto Sans" w:hAnsi="Noto Sans"/>
          <w:b/>
        </w:rPr>
        <w:t>No exception should be approved without a named owner, bounded scope, compensating controls, monitoring, an expiration date, and a removal plan.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893" w:right="893" w:gutter="0" w:header="0" w:top="792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Inter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5"/>
      </w:rPr>
      <w:t>West Central Tech Conference | Grant Nelson | Public conference resource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5"/>
      </w:rPr>
      <w:t>West Central Tech Conference | Grant Nelson | Public conference resource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Inter" w:hAnsi="Inter" w:eastAsia="Inter" w:cs="" w:cstheme="minorBidi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2033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3</Pages>
  <Words>333</Words>
  <Characters>2180</Characters>
  <CharactersWithSpaces>2428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2026-07-27T13:44:48Z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