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94D1F" w14:textId="5C10C635" w:rsidR="000B1D15" w:rsidRDefault="000B1D15">
      <w:pPr>
        <w:jc w:val="center"/>
        <w:rPr>
          <w:b/>
        </w:rPr>
      </w:pPr>
      <w:r>
        <w:rPr>
          <w:b/>
        </w:rPr>
        <w:t>Assignment 1</w:t>
      </w:r>
      <w:r w:rsidR="00EA1C33">
        <w:rPr>
          <w:b/>
        </w:rPr>
        <w:t>, MgtF402 Investment Analysis</w:t>
      </w:r>
      <w:r>
        <w:rPr>
          <w:b/>
        </w:rPr>
        <w:t xml:space="preserve"> (due </w:t>
      </w:r>
      <w:r w:rsidR="00C6570D">
        <w:rPr>
          <w:b/>
        </w:rPr>
        <w:t xml:space="preserve">October </w:t>
      </w:r>
      <w:r w:rsidR="00C57AE1">
        <w:rPr>
          <w:b/>
        </w:rPr>
        <w:t>6</w:t>
      </w:r>
      <w:r>
        <w:rPr>
          <w:b/>
        </w:rPr>
        <w:t>, 20</w:t>
      </w:r>
      <w:r w:rsidR="00C20895">
        <w:rPr>
          <w:b/>
        </w:rPr>
        <w:t>2</w:t>
      </w:r>
      <w:r w:rsidR="00C57AE1">
        <w:rPr>
          <w:b/>
        </w:rPr>
        <w:t>5</w:t>
      </w:r>
      <w:r>
        <w:rPr>
          <w:b/>
        </w:rPr>
        <w:t>)</w:t>
      </w:r>
    </w:p>
    <w:p w14:paraId="0570648C" w14:textId="77777777" w:rsidR="000B1D15" w:rsidRDefault="000B1D15">
      <w:pPr>
        <w:rPr>
          <w:u w:val="single"/>
        </w:rPr>
      </w:pPr>
    </w:p>
    <w:p w14:paraId="43CE10DF" w14:textId="77777777" w:rsidR="000B1D15" w:rsidRPr="00B25F55" w:rsidRDefault="00C6570D">
      <w:pPr>
        <w:rPr>
          <w:sz w:val="22"/>
          <w:szCs w:val="22"/>
        </w:rPr>
      </w:pPr>
      <w:r>
        <w:rPr>
          <w:sz w:val="22"/>
          <w:szCs w:val="22"/>
          <w:u w:val="single"/>
        </w:rPr>
        <w:t xml:space="preserve">Part I: </w:t>
      </w:r>
      <w:r w:rsidR="000B1D15" w:rsidRPr="00B25F55">
        <w:rPr>
          <w:sz w:val="22"/>
          <w:szCs w:val="22"/>
          <w:u w:val="single"/>
        </w:rPr>
        <w:t>HBS case study #5-205-040: Deutsche Bank: Discussing the Equity Risk Premium</w:t>
      </w:r>
    </w:p>
    <w:p w14:paraId="536A15D3" w14:textId="6FB3FD80" w:rsidR="000B1D15" w:rsidRPr="00EA1C33" w:rsidRDefault="000B1D15">
      <w:pPr>
        <w:rPr>
          <w:sz w:val="22"/>
          <w:szCs w:val="22"/>
        </w:rPr>
      </w:pPr>
      <w:r w:rsidRPr="00B25F55">
        <w:rPr>
          <w:sz w:val="22"/>
          <w:szCs w:val="22"/>
        </w:rPr>
        <w:t>The equity risk premium has been described as the single most important variable in finance. It is also very difficult to estimate</w:t>
      </w:r>
      <w:r w:rsidR="0033786A">
        <w:rPr>
          <w:sz w:val="22"/>
          <w:szCs w:val="22"/>
        </w:rPr>
        <w:t xml:space="preserve"> precisely</w:t>
      </w:r>
      <w:r w:rsidRPr="00B25F55">
        <w:rPr>
          <w:sz w:val="22"/>
          <w:szCs w:val="22"/>
        </w:rPr>
        <w:t>. This case describes a variety of approaches to determine the equity risk premium. You will get experience with these by using real d</w:t>
      </w:r>
      <w:r w:rsidR="0032489B">
        <w:rPr>
          <w:sz w:val="22"/>
          <w:szCs w:val="22"/>
        </w:rPr>
        <w:t xml:space="preserve">ata from a variety of sources. The </w:t>
      </w:r>
      <w:r w:rsidR="00EA1C33">
        <w:rPr>
          <w:sz w:val="22"/>
          <w:szCs w:val="22"/>
        </w:rPr>
        <w:t xml:space="preserve">excel </w:t>
      </w:r>
      <w:r w:rsidR="0032489B">
        <w:rPr>
          <w:sz w:val="22"/>
          <w:szCs w:val="22"/>
        </w:rPr>
        <w:t xml:space="preserve">file </w:t>
      </w:r>
      <w:r w:rsidR="00C6570D">
        <w:rPr>
          <w:sz w:val="22"/>
          <w:szCs w:val="22"/>
        </w:rPr>
        <w:t>Assignment</w:t>
      </w:r>
      <w:r w:rsidR="00C64E3A">
        <w:rPr>
          <w:sz w:val="22"/>
          <w:szCs w:val="22"/>
        </w:rPr>
        <w:t>_</w:t>
      </w:r>
      <w:r w:rsidR="00C6570D">
        <w:rPr>
          <w:sz w:val="22"/>
          <w:szCs w:val="22"/>
        </w:rPr>
        <w:t>1</w:t>
      </w:r>
      <w:r w:rsidR="00C64E3A">
        <w:rPr>
          <w:sz w:val="22"/>
          <w:szCs w:val="22"/>
        </w:rPr>
        <w:t>_</w:t>
      </w:r>
      <w:r w:rsidR="00EA1C33">
        <w:rPr>
          <w:sz w:val="22"/>
          <w:szCs w:val="22"/>
        </w:rPr>
        <w:t>MF402</w:t>
      </w:r>
      <w:r w:rsidR="00242002">
        <w:rPr>
          <w:sz w:val="22"/>
          <w:szCs w:val="22"/>
        </w:rPr>
        <w:t>_202</w:t>
      </w:r>
      <w:r w:rsidR="00C57AE1">
        <w:rPr>
          <w:sz w:val="22"/>
          <w:szCs w:val="22"/>
        </w:rPr>
        <w:t>5</w:t>
      </w:r>
      <w:r w:rsidR="004971B2">
        <w:rPr>
          <w:sz w:val="22"/>
          <w:szCs w:val="22"/>
        </w:rPr>
        <w:t>.xlsx</w:t>
      </w:r>
      <w:r w:rsidR="00EB4449">
        <w:rPr>
          <w:sz w:val="22"/>
          <w:szCs w:val="22"/>
        </w:rPr>
        <w:t xml:space="preserve"> (Data sheet)</w:t>
      </w:r>
      <w:r w:rsidRPr="00B25F55">
        <w:rPr>
          <w:sz w:val="22"/>
          <w:szCs w:val="22"/>
        </w:rPr>
        <w:t xml:space="preserve">, available from the </w:t>
      </w:r>
      <w:r w:rsidR="00EA1C33">
        <w:rPr>
          <w:sz w:val="22"/>
          <w:szCs w:val="22"/>
        </w:rPr>
        <w:t xml:space="preserve">Assignment </w:t>
      </w:r>
      <w:r w:rsidRPr="00B25F55">
        <w:rPr>
          <w:sz w:val="22"/>
          <w:szCs w:val="22"/>
        </w:rPr>
        <w:t xml:space="preserve">1 folder on </w:t>
      </w:r>
      <w:r w:rsidR="00260DE9">
        <w:rPr>
          <w:sz w:val="22"/>
          <w:szCs w:val="22"/>
        </w:rPr>
        <w:t>Canvas</w:t>
      </w:r>
      <w:r w:rsidRPr="00B25F55">
        <w:rPr>
          <w:sz w:val="22"/>
          <w:szCs w:val="22"/>
        </w:rPr>
        <w:t>, has monthly returns on stocks, bonds</w:t>
      </w:r>
      <w:r w:rsidR="0033786A">
        <w:rPr>
          <w:sz w:val="22"/>
          <w:szCs w:val="22"/>
        </w:rPr>
        <w:t xml:space="preserve"> </w:t>
      </w:r>
      <w:r w:rsidRPr="00B25F55">
        <w:rPr>
          <w:sz w:val="22"/>
          <w:szCs w:val="22"/>
        </w:rPr>
        <w:t xml:space="preserve">and T-bills </w:t>
      </w:r>
      <w:r w:rsidR="00EB4449">
        <w:rPr>
          <w:sz w:val="22"/>
          <w:szCs w:val="22"/>
        </w:rPr>
        <w:t xml:space="preserve">from </w:t>
      </w:r>
      <w:r w:rsidRPr="00B25F55">
        <w:rPr>
          <w:sz w:val="22"/>
          <w:szCs w:val="22"/>
        </w:rPr>
        <w:t>January 19</w:t>
      </w:r>
      <w:r w:rsidR="0025121E">
        <w:rPr>
          <w:sz w:val="22"/>
          <w:szCs w:val="22"/>
        </w:rPr>
        <w:t>7</w:t>
      </w:r>
      <w:r w:rsidR="00C6570D">
        <w:rPr>
          <w:sz w:val="22"/>
          <w:szCs w:val="22"/>
        </w:rPr>
        <w:t>0</w:t>
      </w:r>
      <w:r w:rsidR="00EB4449">
        <w:rPr>
          <w:sz w:val="22"/>
          <w:szCs w:val="22"/>
        </w:rPr>
        <w:t xml:space="preserve"> to December 2024</w:t>
      </w:r>
      <w:r w:rsidRPr="00B25F55">
        <w:rPr>
          <w:sz w:val="22"/>
          <w:szCs w:val="22"/>
        </w:rPr>
        <w:t>. The spreadsheet has columns with the date</w:t>
      </w:r>
      <w:r w:rsidR="0033786A">
        <w:rPr>
          <w:sz w:val="22"/>
          <w:szCs w:val="22"/>
        </w:rPr>
        <w:t xml:space="preserve"> (column A)</w:t>
      </w:r>
      <w:r w:rsidRPr="00B25F55">
        <w:rPr>
          <w:sz w:val="22"/>
          <w:szCs w:val="22"/>
        </w:rPr>
        <w:t xml:space="preserve">, </w:t>
      </w:r>
      <w:r w:rsidR="00C6570D">
        <w:rPr>
          <w:sz w:val="22"/>
          <w:szCs w:val="22"/>
        </w:rPr>
        <w:t xml:space="preserve">returns on a </w:t>
      </w:r>
      <w:r w:rsidR="00C6570D" w:rsidRPr="000B6398">
        <w:rPr>
          <w:sz w:val="22"/>
          <w:szCs w:val="22"/>
          <w:highlight w:val="yellow"/>
        </w:rPr>
        <w:t>value-weighted stock portfolio (</w:t>
      </w:r>
      <w:proofErr w:type="spellStart"/>
      <w:r w:rsidR="0025121E" w:rsidRPr="000B6398">
        <w:rPr>
          <w:sz w:val="22"/>
          <w:szCs w:val="22"/>
          <w:highlight w:val="yellow"/>
        </w:rPr>
        <w:t>vwret</w:t>
      </w:r>
      <w:proofErr w:type="spellEnd"/>
      <w:r w:rsidR="0025121E" w:rsidRPr="000B6398">
        <w:rPr>
          <w:sz w:val="22"/>
          <w:szCs w:val="22"/>
          <w:highlight w:val="yellow"/>
        </w:rPr>
        <w:t xml:space="preserve">, </w:t>
      </w:r>
      <w:r w:rsidR="00C6570D" w:rsidRPr="000B6398">
        <w:rPr>
          <w:sz w:val="22"/>
          <w:szCs w:val="22"/>
          <w:highlight w:val="yellow"/>
        </w:rPr>
        <w:t>column B)</w:t>
      </w:r>
      <w:r w:rsidR="00C6570D">
        <w:rPr>
          <w:sz w:val="22"/>
          <w:szCs w:val="22"/>
        </w:rPr>
        <w:t xml:space="preserve">, </w:t>
      </w:r>
      <w:r w:rsidR="00C6570D" w:rsidRPr="000B6398">
        <w:rPr>
          <w:sz w:val="22"/>
          <w:szCs w:val="22"/>
          <w:highlight w:val="yellow"/>
        </w:rPr>
        <w:t>returns on 10-year Treasury bonds (column E)</w:t>
      </w:r>
      <w:r w:rsidR="00C6570D">
        <w:rPr>
          <w:sz w:val="22"/>
          <w:szCs w:val="22"/>
        </w:rPr>
        <w:t xml:space="preserve">, </w:t>
      </w:r>
      <w:r w:rsidR="00EA1C33">
        <w:rPr>
          <w:sz w:val="22"/>
          <w:szCs w:val="22"/>
        </w:rPr>
        <w:t xml:space="preserve">and </w:t>
      </w:r>
      <w:r w:rsidRPr="00B25F55">
        <w:rPr>
          <w:sz w:val="22"/>
          <w:szCs w:val="22"/>
        </w:rPr>
        <w:t xml:space="preserve">the </w:t>
      </w:r>
      <w:r w:rsidR="00C6570D" w:rsidRPr="000B6398">
        <w:rPr>
          <w:sz w:val="22"/>
          <w:szCs w:val="22"/>
          <w:highlight w:val="yellow"/>
        </w:rPr>
        <w:t>3-m</w:t>
      </w:r>
      <w:r w:rsidRPr="000B6398">
        <w:rPr>
          <w:sz w:val="22"/>
          <w:szCs w:val="22"/>
          <w:highlight w:val="yellow"/>
        </w:rPr>
        <w:t>onth T-bill rate</w:t>
      </w:r>
      <w:r w:rsidR="0033786A" w:rsidRPr="000B6398">
        <w:rPr>
          <w:sz w:val="22"/>
          <w:szCs w:val="22"/>
          <w:highlight w:val="yellow"/>
        </w:rPr>
        <w:t xml:space="preserve"> (column </w:t>
      </w:r>
      <w:r w:rsidR="00C6570D" w:rsidRPr="000B6398">
        <w:rPr>
          <w:sz w:val="22"/>
          <w:szCs w:val="22"/>
          <w:highlight w:val="yellow"/>
        </w:rPr>
        <w:t>G</w:t>
      </w:r>
      <w:r w:rsidR="0033786A" w:rsidRPr="000B6398">
        <w:rPr>
          <w:sz w:val="22"/>
          <w:szCs w:val="22"/>
          <w:highlight w:val="yellow"/>
        </w:rPr>
        <w:t>)</w:t>
      </w:r>
      <w:r w:rsidRPr="00B25F55">
        <w:rPr>
          <w:sz w:val="22"/>
          <w:szCs w:val="22"/>
        </w:rPr>
        <w:t>. Returns are r</w:t>
      </w:r>
      <w:r w:rsidR="004971B2">
        <w:rPr>
          <w:sz w:val="22"/>
          <w:szCs w:val="22"/>
        </w:rPr>
        <w:t xml:space="preserve">eported as fractions per month so </w:t>
      </w:r>
      <w:r w:rsidRPr="00B25F55">
        <w:rPr>
          <w:sz w:val="22"/>
          <w:szCs w:val="22"/>
        </w:rPr>
        <w:t>0.05 means five percent.</w:t>
      </w:r>
      <w:r w:rsidR="00C6570D">
        <w:rPr>
          <w:sz w:val="22"/>
          <w:szCs w:val="22"/>
        </w:rPr>
        <w:t xml:space="preserve"> We also show </w:t>
      </w:r>
      <w:r w:rsidR="00EA1C33" w:rsidRPr="000B6398">
        <w:rPr>
          <w:sz w:val="22"/>
          <w:szCs w:val="22"/>
          <w:highlight w:val="yellow"/>
        </w:rPr>
        <w:t xml:space="preserve">total return </w:t>
      </w:r>
      <w:r w:rsidR="00C6570D" w:rsidRPr="000B6398">
        <w:rPr>
          <w:sz w:val="22"/>
          <w:szCs w:val="22"/>
          <w:highlight w:val="yellow"/>
        </w:rPr>
        <w:t>indexes (including dividends and coupons) on US stocks, 10-year Treasury bonds and 3-month T-bills in columns C, F and H)</w:t>
      </w:r>
      <w:r w:rsidR="00C6570D">
        <w:rPr>
          <w:sz w:val="22"/>
          <w:szCs w:val="22"/>
        </w:rPr>
        <w:t xml:space="preserve">. </w:t>
      </w:r>
      <w:r w:rsidR="00EA1C33">
        <w:rPr>
          <w:sz w:val="22"/>
          <w:szCs w:val="22"/>
        </w:rPr>
        <w:t xml:space="preserve">These </w:t>
      </w:r>
      <w:r w:rsidR="00F47DE2">
        <w:rPr>
          <w:sz w:val="22"/>
          <w:szCs w:val="22"/>
        </w:rPr>
        <w:t>track</w:t>
      </w:r>
      <w:r w:rsidR="00EA1C33">
        <w:rPr>
          <w:sz w:val="22"/>
          <w:szCs w:val="22"/>
        </w:rPr>
        <w:t xml:space="preserve"> how $100 grows over time on a cumulat</w:t>
      </w:r>
      <w:r w:rsidR="00564937">
        <w:rPr>
          <w:sz w:val="22"/>
          <w:szCs w:val="22"/>
        </w:rPr>
        <w:t>ive</w:t>
      </w:r>
      <w:r w:rsidR="00EA1C33">
        <w:rPr>
          <w:sz w:val="22"/>
          <w:szCs w:val="22"/>
        </w:rPr>
        <w:t xml:space="preserve"> basis</w:t>
      </w:r>
      <w:r w:rsidR="004971B2">
        <w:rPr>
          <w:sz w:val="22"/>
          <w:szCs w:val="22"/>
        </w:rPr>
        <w:t>, starting from January 19</w:t>
      </w:r>
      <w:r w:rsidR="00BA59CE">
        <w:rPr>
          <w:sz w:val="22"/>
          <w:szCs w:val="22"/>
        </w:rPr>
        <w:t>7</w:t>
      </w:r>
      <w:r w:rsidR="004971B2">
        <w:rPr>
          <w:sz w:val="22"/>
          <w:szCs w:val="22"/>
        </w:rPr>
        <w:t>0</w:t>
      </w:r>
      <w:r w:rsidR="00EA1C33">
        <w:rPr>
          <w:sz w:val="22"/>
          <w:szCs w:val="22"/>
        </w:rPr>
        <w:t>.</w:t>
      </w:r>
    </w:p>
    <w:p w14:paraId="27D41F30" w14:textId="77777777" w:rsidR="000B1D15" w:rsidRDefault="000B1D15"/>
    <w:p w14:paraId="0FBD3E9F" w14:textId="22E3605E" w:rsidR="000B1D15" w:rsidRDefault="000B1D15" w:rsidP="00E638BA">
      <w:pPr>
        <w:numPr>
          <w:ilvl w:val="0"/>
          <w:numId w:val="4"/>
        </w:numPr>
      </w:pPr>
      <w:r>
        <w:t>Using th</w:t>
      </w:r>
      <w:r w:rsidR="00C6570D">
        <w:t>ese</w:t>
      </w:r>
      <w:r>
        <w:t xml:space="preserve"> data, estimate the </w:t>
      </w:r>
      <w:r w:rsidRPr="00703F87">
        <w:rPr>
          <w:highlight w:val="yellow"/>
        </w:rPr>
        <w:t xml:space="preserve">average </w:t>
      </w:r>
      <w:r w:rsidRPr="00703F87">
        <w:rPr>
          <w:i/>
          <w:highlight w:val="yellow"/>
        </w:rPr>
        <w:t>excess</w:t>
      </w:r>
      <w:r w:rsidRPr="00703F87">
        <w:rPr>
          <w:highlight w:val="yellow"/>
        </w:rPr>
        <w:t xml:space="preserve"> return</w:t>
      </w:r>
      <w:r>
        <w:t xml:space="preserve"> on stocks (over the T-bill rate) over the full sample period </w:t>
      </w:r>
      <w:r w:rsidR="0032489B">
        <w:t xml:space="preserve">going </w:t>
      </w:r>
      <w:r>
        <w:t>back to 19</w:t>
      </w:r>
      <w:r w:rsidR="00806B62">
        <w:t>7</w:t>
      </w:r>
      <w:r w:rsidR="00C6570D">
        <w:t>0</w:t>
      </w:r>
      <w:r>
        <w:t xml:space="preserve">. You can do this by subtracting the T-bill return column </w:t>
      </w:r>
      <w:r w:rsidR="00EA1C33">
        <w:t xml:space="preserve">(G) </w:t>
      </w:r>
      <w:r>
        <w:t>from the stock return column</w:t>
      </w:r>
      <w:r w:rsidR="00EA1C33">
        <w:t xml:space="preserve"> (B)</w:t>
      </w:r>
      <w:r>
        <w:t xml:space="preserve">. </w:t>
      </w:r>
      <w:r w:rsidR="00E638BA" w:rsidRPr="00E638BA">
        <w:t>Annualize the monthly mean return figures by multiplying by 12.</w:t>
      </w:r>
      <w:r w:rsidR="00E638BA">
        <w:t xml:space="preserve"> </w:t>
      </w:r>
      <w:r>
        <w:t xml:space="preserve">How </w:t>
      </w:r>
      <w:r w:rsidR="00E638BA">
        <w:t xml:space="preserve">precise is </w:t>
      </w:r>
      <w:r>
        <w:t>you</w:t>
      </w:r>
      <w:r w:rsidR="00E638BA">
        <w:t>r</w:t>
      </w:r>
      <w:r>
        <w:t xml:space="preserve"> estimate? </w:t>
      </w:r>
      <w:r w:rsidR="00E638BA">
        <w:t>[</w:t>
      </w:r>
      <w:r>
        <w:t xml:space="preserve">Hint: run a regression of excess returns </w:t>
      </w:r>
      <w:r w:rsidR="00E52924">
        <w:t xml:space="preserve">(y-variable) </w:t>
      </w:r>
      <w:r>
        <w:t>on a constant</w:t>
      </w:r>
      <w:r w:rsidR="00924C43">
        <w:t xml:space="preserve"> (one)</w:t>
      </w:r>
      <w:r>
        <w:t xml:space="preserve"> to get standard errors on the </w:t>
      </w:r>
      <w:r w:rsidR="0032489B">
        <w:t>mean excess return (</w:t>
      </w:r>
      <w:r>
        <w:t xml:space="preserve">equity </w:t>
      </w:r>
      <w:r w:rsidR="0032489B">
        <w:t xml:space="preserve">risk </w:t>
      </w:r>
      <w:r>
        <w:t>premium</w:t>
      </w:r>
      <w:r w:rsidR="0032489B">
        <w:t>)</w:t>
      </w:r>
      <w:r w:rsidR="00957AFF">
        <w:t xml:space="preserve"> and construct a 95% confidence interval.</w:t>
      </w:r>
      <w:r w:rsidR="00E638BA">
        <w:t>]</w:t>
      </w:r>
    </w:p>
    <w:p w14:paraId="79055FFB" w14:textId="77777777" w:rsidR="00AF4DD4" w:rsidRDefault="00AF4DD4" w:rsidP="00AF4DD4">
      <w:pPr>
        <w:ind w:left="720"/>
      </w:pPr>
    </w:p>
    <w:p w14:paraId="143751BC" w14:textId="272926C7" w:rsidR="00AF4DD4" w:rsidRPr="00AF4DD4" w:rsidRDefault="00AF4DD4" w:rsidP="00AF4DD4">
      <w:pPr>
        <w:ind w:left="720"/>
        <w:rPr>
          <w:rFonts w:asciiTheme="minorHAnsi" w:hAnsiTheme="minorHAnsi" w:cstheme="minorHAnsi"/>
          <w:b/>
          <w:bCs/>
          <w:lang w:eastAsia="zh-TW"/>
        </w:rPr>
      </w:pPr>
      <w:r w:rsidRPr="00B167B8">
        <w:rPr>
          <w:rFonts w:asciiTheme="minorHAnsi" w:hAnsiTheme="minorHAnsi" w:cstheme="minorHAnsi"/>
          <w:b/>
          <w:bCs/>
          <w:color w:val="000000"/>
          <w:highlight w:val="yellow"/>
        </w:rPr>
        <w:t>The average annualized excess return on stocks over T-bills from 1970–2024 is about</w:t>
      </w:r>
      <w:r w:rsidRPr="00B167B8">
        <w:rPr>
          <w:rStyle w:val="apple-converted-space"/>
          <w:rFonts w:asciiTheme="minorHAnsi" w:hAnsiTheme="minorHAnsi" w:cstheme="minorHAnsi"/>
          <w:b/>
          <w:bCs/>
          <w:color w:val="000000"/>
          <w:highlight w:val="yellow"/>
        </w:rPr>
        <w:t> </w:t>
      </w:r>
      <w:r w:rsidRPr="00B167B8">
        <w:rPr>
          <w:rStyle w:val="a8"/>
          <w:rFonts w:asciiTheme="minorHAnsi" w:hAnsiTheme="minorHAnsi" w:cstheme="minorHAnsi"/>
          <w:b w:val="0"/>
          <w:bCs w:val="0"/>
          <w:color w:val="000000"/>
          <w:highlight w:val="yellow"/>
        </w:rPr>
        <w:t>6.94%</w:t>
      </w:r>
      <w:r w:rsidRPr="00B167B8">
        <w:rPr>
          <w:rFonts w:asciiTheme="minorHAnsi" w:hAnsiTheme="minorHAnsi" w:cstheme="minorHAnsi"/>
          <w:b/>
          <w:bCs/>
          <w:color w:val="000000"/>
          <w:highlight w:val="yellow"/>
        </w:rPr>
        <w:t>, with a</w:t>
      </w:r>
      <w:r w:rsidRPr="00B167B8">
        <w:rPr>
          <w:rStyle w:val="apple-converted-space"/>
          <w:rFonts w:asciiTheme="minorHAnsi" w:hAnsiTheme="minorHAnsi" w:cstheme="minorHAnsi"/>
          <w:b/>
          <w:bCs/>
          <w:color w:val="000000"/>
          <w:highlight w:val="yellow"/>
        </w:rPr>
        <w:t> </w:t>
      </w:r>
      <w:r w:rsidRPr="00B167B8">
        <w:rPr>
          <w:rStyle w:val="a8"/>
          <w:rFonts w:asciiTheme="minorHAnsi" w:hAnsiTheme="minorHAnsi" w:cstheme="minorHAnsi"/>
          <w:b w:val="0"/>
          <w:bCs w:val="0"/>
          <w:color w:val="000000"/>
          <w:highlight w:val="yellow"/>
        </w:rPr>
        <w:t>95% confidence interval of [2.88%, 11.01%]</w:t>
      </w:r>
      <w:r w:rsidRPr="00B167B8">
        <w:rPr>
          <w:rFonts w:asciiTheme="minorHAnsi" w:hAnsiTheme="minorHAnsi" w:cstheme="minorHAnsi"/>
          <w:b/>
          <w:bCs/>
          <w:color w:val="000000"/>
          <w:highlight w:val="yellow"/>
        </w:rPr>
        <w:t>.</w:t>
      </w:r>
    </w:p>
    <w:p w14:paraId="6A18067E" w14:textId="77777777" w:rsidR="000B1D15" w:rsidRDefault="000B1D15">
      <w:pPr>
        <w:ind w:left="360"/>
      </w:pPr>
    </w:p>
    <w:p w14:paraId="36BDFA79" w14:textId="77777777" w:rsidR="000B1D15" w:rsidRDefault="000B1D15">
      <w:pPr>
        <w:numPr>
          <w:ilvl w:val="0"/>
          <w:numId w:val="4"/>
        </w:numPr>
      </w:pPr>
      <w:r>
        <w:t xml:space="preserve">How stable is the historical estimate of the equity risk premium over time? </w:t>
      </w:r>
      <w:r w:rsidR="0032489B">
        <w:t>[</w:t>
      </w:r>
      <w:r>
        <w:t xml:space="preserve">Hint: </w:t>
      </w:r>
      <w:r w:rsidR="00C6570D">
        <w:t xml:space="preserve">compute </w:t>
      </w:r>
      <w:r w:rsidR="000B700C">
        <w:t>mean returns over a 10-year</w:t>
      </w:r>
      <w:r w:rsidR="00C6570D">
        <w:t xml:space="preserve"> rolling window (</w:t>
      </w:r>
      <w:r w:rsidR="000B700C">
        <w:t xml:space="preserve">an </w:t>
      </w:r>
      <w:r w:rsidR="00C6570D">
        <w:t xml:space="preserve">average over </w:t>
      </w:r>
      <w:r w:rsidR="0032489B">
        <w:t xml:space="preserve">the </w:t>
      </w:r>
      <w:r w:rsidR="00EA1C33">
        <w:t xml:space="preserve">previous </w:t>
      </w:r>
      <w:r w:rsidR="00C6570D">
        <w:t>120 months) and plot this over time</w:t>
      </w:r>
      <w:r w:rsidR="00EA1C33">
        <w:t>.] Comment on your findings.</w:t>
      </w:r>
    </w:p>
    <w:p w14:paraId="2E843BBD" w14:textId="77777777" w:rsidR="002F3966" w:rsidRDefault="002F3966" w:rsidP="002F3966">
      <w:pPr>
        <w:ind w:left="720"/>
        <w:rPr>
          <w:lang w:eastAsia="zh-TW"/>
        </w:rPr>
      </w:pPr>
    </w:p>
    <w:p w14:paraId="3F68D5E6" w14:textId="77777777" w:rsidR="002F3966" w:rsidRDefault="002F3966" w:rsidP="002F3966">
      <w:pPr>
        <w:ind w:left="720"/>
      </w:pPr>
    </w:p>
    <w:p w14:paraId="313EC09C" w14:textId="77777777" w:rsidR="000B1D15" w:rsidRDefault="000B1D15">
      <w:pPr>
        <w:ind w:left="360"/>
      </w:pPr>
    </w:p>
    <w:p w14:paraId="47DB7CE6" w14:textId="0FA39653" w:rsidR="000B1D15" w:rsidRDefault="000B1D15" w:rsidP="00C57AE1">
      <w:pPr>
        <w:numPr>
          <w:ilvl w:val="0"/>
          <w:numId w:val="4"/>
        </w:numPr>
      </w:pPr>
      <w:r>
        <w:t xml:space="preserve">Use the Gordon growth model to estimate the expected </w:t>
      </w:r>
      <w:r w:rsidR="00924C43">
        <w:t xml:space="preserve">risk premium </w:t>
      </w:r>
      <w:r>
        <w:t>on stock</w:t>
      </w:r>
      <w:r w:rsidR="002D657F">
        <w:t xml:space="preserve">s. Data on the </w:t>
      </w:r>
      <w:r w:rsidR="000B700C">
        <w:t xml:space="preserve">current </w:t>
      </w:r>
      <w:r w:rsidR="002D657F">
        <w:t xml:space="preserve">dividend yield </w:t>
      </w:r>
      <w:r w:rsidR="00E638BA">
        <w:t>is</w:t>
      </w:r>
      <w:r>
        <w:t xml:space="preserve"> provided </w:t>
      </w:r>
      <w:r w:rsidR="004656B1">
        <w:t>at the bottom of column D</w:t>
      </w:r>
      <w:r>
        <w:t xml:space="preserve">. </w:t>
      </w:r>
      <w:r w:rsidR="0032489B">
        <w:t>(</w:t>
      </w:r>
      <w:r>
        <w:t>For explanations of this approach, see Section 18.3 in BKM</w:t>
      </w:r>
      <w:r w:rsidRPr="0085477A">
        <w:t>.</w:t>
      </w:r>
      <w:r>
        <w:t xml:space="preserve">) For an estimate of the growth rate of the US economy, see the </w:t>
      </w:r>
      <w:hyperlink r:id="rId5" w:history="1">
        <w:r w:rsidRPr="00C57AE1">
          <w:rPr>
            <w:rStyle w:val="a3"/>
          </w:rPr>
          <w:t>Survey of Professional Forecasters’ web site at the Federal Reserve Bank of Philadelphia</w:t>
        </w:r>
      </w:hyperlink>
      <w:r>
        <w:t xml:space="preserve"> and click on the third quarter 20</w:t>
      </w:r>
      <w:r w:rsidR="008836EC">
        <w:t>2</w:t>
      </w:r>
      <w:r w:rsidR="00C57AE1">
        <w:t>5</w:t>
      </w:r>
      <w:r>
        <w:t xml:space="preserve"> release. </w:t>
      </w:r>
      <w:r w:rsidR="00F47DE2">
        <w:t>Choose the annual 202</w:t>
      </w:r>
      <w:r w:rsidR="00C57AE1">
        <w:t>8</w:t>
      </w:r>
      <w:r w:rsidR="00F47DE2">
        <w:t xml:space="preserve"> growth rate.</w:t>
      </w:r>
    </w:p>
    <w:p w14:paraId="4A53554D" w14:textId="77777777" w:rsidR="000B1D15" w:rsidRDefault="000B1D15">
      <w:pPr>
        <w:ind w:left="720"/>
      </w:pPr>
      <w:r>
        <w:t xml:space="preserve">For an estimate of the real bond yield extracted from </w:t>
      </w:r>
      <w:r w:rsidR="00C6570D">
        <w:t>1</w:t>
      </w:r>
      <w:r w:rsidR="00E638BA">
        <w:t xml:space="preserve">0-year </w:t>
      </w:r>
      <w:r>
        <w:t xml:space="preserve">Treasury Inflation-Protected Securities (TIPS), see </w:t>
      </w:r>
      <w:hyperlink r:id="rId6" w:history="1">
        <w:r>
          <w:rPr>
            <w:rStyle w:val="a3"/>
          </w:rPr>
          <w:t>http://research.stlouisfed.org/fred2/categories/82</w:t>
        </w:r>
      </w:hyperlink>
      <w:r>
        <w:t xml:space="preserve"> </w:t>
      </w:r>
    </w:p>
    <w:p w14:paraId="6CD5CBA0" w14:textId="77777777" w:rsidR="00B167B8" w:rsidRDefault="00B167B8">
      <w:pPr>
        <w:ind w:left="720"/>
      </w:pPr>
    </w:p>
    <w:p w14:paraId="2F5D96F1" w14:textId="4AF2EA14" w:rsidR="00B167B8" w:rsidRPr="00B167B8" w:rsidRDefault="00B167B8">
      <w:pPr>
        <w:ind w:left="720"/>
        <w:rPr>
          <w:rFonts w:asciiTheme="minorHAnsi" w:hAnsiTheme="minorHAnsi" w:cstheme="minorHAnsi"/>
        </w:rPr>
      </w:pPr>
      <w:r w:rsidRPr="00B167B8">
        <w:rPr>
          <w:rFonts w:asciiTheme="minorHAnsi" w:hAnsiTheme="minorHAnsi" w:cstheme="minorHAnsi"/>
          <w:color w:val="000000"/>
          <w:sz w:val="27"/>
          <w:szCs w:val="27"/>
          <w:highlight w:val="yellow"/>
        </w:rPr>
        <w:t>The Gordon growth model gives an expected equity risk premium of about</w:t>
      </w:r>
      <w:r w:rsidRPr="00B167B8">
        <w:rPr>
          <w:rStyle w:val="apple-converted-space"/>
          <w:rFonts w:asciiTheme="minorHAnsi" w:hAnsiTheme="minorHAnsi" w:cstheme="minorHAnsi"/>
          <w:color w:val="000000"/>
          <w:sz w:val="27"/>
          <w:szCs w:val="27"/>
          <w:highlight w:val="yellow"/>
        </w:rPr>
        <w:t> </w:t>
      </w:r>
      <w:r w:rsidRPr="00B167B8">
        <w:rPr>
          <w:rStyle w:val="a8"/>
          <w:rFonts w:asciiTheme="minorHAnsi" w:hAnsiTheme="minorHAnsi" w:cstheme="minorHAnsi"/>
          <w:color w:val="000000"/>
          <w:highlight w:val="yellow"/>
        </w:rPr>
        <w:t>1.3%</w:t>
      </w:r>
      <w:r w:rsidRPr="00B167B8">
        <w:rPr>
          <w:rFonts w:asciiTheme="minorHAnsi" w:hAnsiTheme="minorHAnsi" w:cstheme="minorHAnsi"/>
          <w:color w:val="000000"/>
          <w:sz w:val="27"/>
          <w:szCs w:val="27"/>
          <w:highlight w:val="yellow"/>
        </w:rPr>
        <w:t>, based on a dividend yield of 1.27%, a long-term real growth forecast of 1.8%, and a 10-year TIPS real yield of 1.8%.”</w:t>
      </w:r>
    </w:p>
    <w:p w14:paraId="733E29B2" w14:textId="77777777" w:rsidR="00B167B8" w:rsidRPr="00B167B8" w:rsidRDefault="00B167B8">
      <w:pPr>
        <w:ind w:left="720"/>
        <w:rPr>
          <w:rFonts w:asciiTheme="minorHAnsi" w:hAnsiTheme="minorHAnsi" w:cstheme="minorHAnsi"/>
        </w:rPr>
      </w:pPr>
    </w:p>
    <w:p w14:paraId="50CE7EDE" w14:textId="77777777" w:rsidR="00B167B8" w:rsidRDefault="00B167B8">
      <w:pPr>
        <w:ind w:left="720"/>
      </w:pPr>
    </w:p>
    <w:p w14:paraId="39BAC9BF" w14:textId="77777777" w:rsidR="00B167B8" w:rsidRDefault="00B167B8">
      <w:pPr>
        <w:ind w:left="720"/>
      </w:pPr>
    </w:p>
    <w:p w14:paraId="79FC4B54" w14:textId="77777777" w:rsidR="000B1D15" w:rsidRDefault="000B1D15" w:rsidP="00363E44">
      <w:pPr>
        <w:rPr>
          <w:lang w:eastAsia="zh-TW"/>
        </w:rPr>
      </w:pPr>
    </w:p>
    <w:p w14:paraId="5EE2C5FB" w14:textId="26628EE0" w:rsidR="000B1D15" w:rsidRDefault="000B1D15" w:rsidP="000B1D15">
      <w:pPr>
        <w:numPr>
          <w:ilvl w:val="0"/>
          <w:numId w:val="4"/>
        </w:numPr>
      </w:pPr>
      <w:r>
        <w:t xml:space="preserve">What estimate of the equity risk premium would you get if you used the ‘novel’ approach on slide 9 of the case study based on the current earnings yield and the real bond yield? The </w:t>
      </w:r>
      <w:r w:rsidR="00F928FC">
        <w:t xml:space="preserve">current </w:t>
      </w:r>
      <w:r w:rsidR="0031391C">
        <w:t xml:space="preserve">trailing 12-month </w:t>
      </w:r>
      <w:r>
        <w:t xml:space="preserve">P/E ratio </w:t>
      </w:r>
      <w:r w:rsidR="008A0281">
        <w:t xml:space="preserve">for the </w:t>
      </w:r>
      <w:r>
        <w:t xml:space="preserve">Standard &amp; Poor’s </w:t>
      </w:r>
      <w:r w:rsidR="008A0281">
        <w:t xml:space="preserve">500 index </w:t>
      </w:r>
      <w:r>
        <w:t xml:space="preserve">is around </w:t>
      </w:r>
      <w:r w:rsidR="00644871">
        <w:t>2</w:t>
      </w:r>
      <w:r w:rsidR="00806B62">
        <w:t>5</w:t>
      </w:r>
      <w:r w:rsidR="00535285">
        <w:t xml:space="preserve"> – the E/P ratio is its inverse (</w:t>
      </w:r>
      <w:r w:rsidR="00806B62">
        <w:t xml:space="preserve">0.04 or </w:t>
      </w:r>
      <w:r w:rsidR="00C57AE1">
        <w:t>4</w:t>
      </w:r>
      <w:r w:rsidR="00535285">
        <w:t>%).</w:t>
      </w:r>
    </w:p>
    <w:p w14:paraId="358E26C3" w14:textId="77777777" w:rsidR="00363E44" w:rsidRDefault="00363E44" w:rsidP="00363E44">
      <w:pPr>
        <w:ind w:left="720"/>
      </w:pPr>
    </w:p>
    <w:p w14:paraId="7C01A595" w14:textId="617301ED" w:rsidR="00363E44" w:rsidRPr="00363E44" w:rsidRDefault="00363E44" w:rsidP="00363E44">
      <w:pPr>
        <w:ind w:left="720"/>
        <w:rPr>
          <w:rStyle w:val="mord"/>
          <w:color w:val="000000"/>
          <w:highlight w:val="yellow"/>
        </w:rPr>
      </w:pPr>
      <w:r w:rsidRPr="00363E44">
        <w:rPr>
          <w:rStyle w:val="mord"/>
          <w:color w:val="000000"/>
          <w:highlight w:val="yellow"/>
        </w:rPr>
        <w:t>ERP</w:t>
      </w:r>
      <w:r w:rsidRPr="00363E44">
        <w:rPr>
          <w:rStyle w:val="mrel"/>
          <w:color w:val="000000"/>
          <w:highlight w:val="yellow"/>
        </w:rPr>
        <w:t>=</w:t>
      </w:r>
      <w:r w:rsidRPr="00363E44">
        <w:rPr>
          <w:rStyle w:val="mord"/>
          <w:color w:val="000000"/>
          <w:highlight w:val="yellow"/>
        </w:rPr>
        <w:t>4%</w:t>
      </w:r>
      <w:r w:rsidRPr="00363E44">
        <w:rPr>
          <w:rStyle w:val="mbin"/>
          <w:color w:val="000000"/>
          <w:highlight w:val="yellow"/>
        </w:rPr>
        <w:t>−</w:t>
      </w:r>
      <w:r w:rsidRPr="00363E44">
        <w:rPr>
          <w:rStyle w:val="mord"/>
          <w:color w:val="000000"/>
          <w:highlight w:val="yellow"/>
        </w:rPr>
        <w:t>1.8%</w:t>
      </w:r>
      <w:r w:rsidRPr="00363E44">
        <w:rPr>
          <w:rStyle w:val="mrel"/>
          <w:color w:val="000000"/>
          <w:highlight w:val="yellow"/>
        </w:rPr>
        <w:t>=</w:t>
      </w:r>
      <w:r w:rsidRPr="00363E44">
        <w:rPr>
          <w:rStyle w:val="mord"/>
          <w:color w:val="000000"/>
          <w:highlight w:val="yellow"/>
        </w:rPr>
        <w:t>2.2%</w:t>
      </w:r>
    </w:p>
    <w:p w14:paraId="0E5580F3" w14:textId="7387C425" w:rsidR="00363E44" w:rsidRDefault="00363E44" w:rsidP="00363E44">
      <w:pPr>
        <w:ind w:left="720"/>
        <w:rPr>
          <w:lang w:eastAsia="zh-TW"/>
        </w:rPr>
      </w:pPr>
      <w:r w:rsidRPr="00363E44">
        <w:rPr>
          <w:rFonts w:ascii="-webkit-standard" w:hAnsi="-webkit-standard"/>
          <w:color w:val="000000"/>
          <w:sz w:val="27"/>
          <w:szCs w:val="27"/>
          <w:highlight w:val="yellow"/>
        </w:rPr>
        <w:t>Using the “novel” approach, the expected equity risk premium is estimated as the earnings yield minus the real bond yield. With an S&amp;P500 earnings yield of</w:t>
      </w:r>
      <w:r w:rsidRPr="00363E44">
        <w:rPr>
          <w:rStyle w:val="apple-converted-space"/>
          <w:rFonts w:ascii="-webkit-standard" w:hAnsi="-webkit-standard"/>
          <w:color w:val="000000"/>
          <w:sz w:val="27"/>
          <w:szCs w:val="27"/>
          <w:highlight w:val="yellow"/>
        </w:rPr>
        <w:t> </w:t>
      </w:r>
      <w:r w:rsidRPr="00363E44">
        <w:rPr>
          <w:rStyle w:val="a8"/>
          <w:color w:val="000000"/>
          <w:highlight w:val="yellow"/>
        </w:rPr>
        <w:t>4%</w:t>
      </w:r>
      <w:r w:rsidRPr="00363E44">
        <w:rPr>
          <w:rStyle w:val="apple-converted-space"/>
          <w:rFonts w:ascii="-webkit-standard" w:hAnsi="-webkit-standard"/>
          <w:color w:val="000000"/>
          <w:sz w:val="27"/>
          <w:szCs w:val="27"/>
          <w:highlight w:val="yellow"/>
        </w:rPr>
        <w:t> </w:t>
      </w:r>
      <w:r w:rsidRPr="00363E44">
        <w:rPr>
          <w:rFonts w:ascii="-webkit-standard" w:hAnsi="-webkit-standard"/>
          <w:color w:val="000000"/>
          <w:sz w:val="27"/>
          <w:szCs w:val="27"/>
          <w:highlight w:val="yellow"/>
        </w:rPr>
        <w:t>and a 10-year TIPS real yield of</w:t>
      </w:r>
      <w:r w:rsidRPr="00363E44">
        <w:rPr>
          <w:rStyle w:val="apple-converted-space"/>
          <w:rFonts w:ascii="-webkit-standard" w:hAnsi="-webkit-standard"/>
          <w:color w:val="000000"/>
          <w:sz w:val="27"/>
          <w:szCs w:val="27"/>
          <w:highlight w:val="yellow"/>
        </w:rPr>
        <w:t> </w:t>
      </w:r>
      <w:r w:rsidRPr="00363E44">
        <w:rPr>
          <w:rStyle w:val="a8"/>
          <w:color w:val="000000"/>
          <w:highlight w:val="yellow"/>
        </w:rPr>
        <w:t>1.8%</w:t>
      </w:r>
      <w:r w:rsidRPr="00363E44">
        <w:rPr>
          <w:rFonts w:ascii="-webkit-standard" w:hAnsi="-webkit-standard"/>
          <w:color w:val="000000"/>
          <w:sz w:val="27"/>
          <w:szCs w:val="27"/>
          <w:highlight w:val="yellow"/>
        </w:rPr>
        <w:t>, the implied equity risk premium is approximately</w:t>
      </w:r>
      <w:r w:rsidRPr="00363E44">
        <w:rPr>
          <w:rStyle w:val="apple-converted-space"/>
          <w:rFonts w:ascii="-webkit-standard" w:hAnsi="-webkit-standard"/>
          <w:color w:val="000000"/>
          <w:sz w:val="27"/>
          <w:szCs w:val="27"/>
          <w:highlight w:val="yellow"/>
        </w:rPr>
        <w:t> </w:t>
      </w:r>
      <w:r w:rsidRPr="00363E44">
        <w:rPr>
          <w:rStyle w:val="a8"/>
          <w:color w:val="000000"/>
          <w:highlight w:val="yellow"/>
        </w:rPr>
        <w:t>2.2%</w:t>
      </w:r>
      <w:r w:rsidRPr="00363E44">
        <w:rPr>
          <w:rFonts w:ascii="-webkit-standard" w:hAnsi="-webkit-standard"/>
          <w:color w:val="000000"/>
          <w:sz w:val="27"/>
          <w:szCs w:val="27"/>
          <w:highlight w:val="yellow"/>
        </w:rPr>
        <w:t>.</w:t>
      </w:r>
    </w:p>
    <w:p w14:paraId="6579D480" w14:textId="77777777" w:rsidR="00363E44" w:rsidRDefault="00363E44" w:rsidP="00363E44">
      <w:pPr>
        <w:rPr>
          <w:lang w:eastAsia="zh-TW"/>
        </w:rPr>
      </w:pPr>
    </w:p>
    <w:p w14:paraId="06735998" w14:textId="77777777" w:rsidR="00363E44" w:rsidRDefault="00363E44" w:rsidP="00363E44"/>
    <w:p w14:paraId="33B14A3F" w14:textId="77777777" w:rsidR="00F538C9" w:rsidRDefault="00F538C9" w:rsidP="00F538C9">
      <w:pPr>
        <w:ind w:left="720"/>
      </w:pPr>
    </w:p>
    <w:p w14:paraId="7E778397" w14:textId="38600DB1" w:rsidR="00F538C9" w:rsidRDefault="00C57AE1" w:rsidP="000B1D15">
      <w:pPr>
        <w:numPr>
          <w:ilvl w:val="0"/>
          <w:numId w:val="4"/>
        </w:numPr>
      </w:pPr>
      <w:r>
        <w:t xml:space="preserve">Tesla’s P/E ratio is </w:t>
      </w:r>
      <w:r w:rsidR="00B4483F">
        <w:t xml:space="preserve">currently </w:t>
      </w:r>
      <w:r w:rsidR="00B311DB">
        <w:t xml:space="preserve">around </w:t>
      </w:r>
      <w:r>
        <w:t>20</w:t>
      </w:r>
      <w:r w:rsidR="00B311DB">
        <w:t>0</w:t>
      </w:r>
      <w:r w:rsidR="00071703">
        <w:t xml:space="preserve">. </w:t>
      </w:r>
      <w:r w:rsidR="00957AFF">
        <w:t>E</w:t>
      </w:r>
      <w:r w:rsidR="00071703">
        <w:t xml:space="preserve">xplain why </w:t>
      </w:r>
      <w:r w:rsidR="00B4483F">
        <w:t xml:space="preserve">Tesla’s </w:t>
      </w:r>
      <w:r w:rsidR="00071703">
        <w:t xml:space="preserve">P/E ratio is </w:t>
      </w:r>
      <w:r w:rsidR="00B4483F">
        <w:t xml:space="preserve">so much </w:t>
      </w:r>
      <w:r w:rsidR="00071703">
        <w:t>higher than that of</w:t>
      </w:r>
      <w:r w:rsidR="009C1F66">
        <w:t xml:space="preserve"> </w:t>
      </w:r>
      <w:r w:rsidR="00B4483F">
        <w:t>the S&amp;P500 index</w:t>
      </w:r>
      <w:r w:rsidR="0031391C">
        <w:t xml:space="preserve"> (2</w:t>
      </w:r>
      <w:r w:rsidR="00806B62">
        <w:t>5</w:t>
      </w:r>
      <w:r w:rsidR="0031391C">
        <w:t>)</w:t>
      </w:r>
      <w:r w:rsidR="007B5C58">
        <w:t>.</w:t>
      </w:r>
      <w:r w:rsidR="009C1F66">
        <w:t xml:space="preserve"> In doing so, </w:t>
      </w:r>
      <w:r w:rsidR="00B4483F">
        <w:t xml:space="preserve">consider </w:t>
      </w:r>
      <w:r w:rsidR="009C1F66">
        <w:t xml:space="preserve">the historical growth rates for </w:t>
      </w:r>
      <w:r w:rsidR="00B4483F">
        <w:t xml:space="preserve">Tesla and the market </w:t>
      </w:r>
      <w:r w:rsidR="009C1F66">
        <w:t xml:space="preserve">as well as expected </w:t>
      </w:r>
      <w:r w:rsidR="00B4483F">
        <w:t xml:space="preserve">future </w:t>
      </w:r>
      <w:r w:rsidR="009C1F66">
        <w:t>earnings growth</w:t>
      </w:r>
      <w:r w:rsidR="00B4483F">
        <w:t>.</w:t>
      </w:r>
    </w:p>
    <w:p w14:paraId="58D6A4BA" w14:textId="17322FBE" w:rsidR="003158EF" w:rsidRDefault="003158EF" w:rsidP="003158EF">
      <w:pPr>
        <w:ind w:left="720"/>
        <w:rPr>
          <w:lang w:eastAsia="zh-TW"/>
        </w:rPr>
      </w:pPr>
    </w:p>
    <w:p w14:paraId="643F352C" w14:textId="2D7B9189" w:rsidR="00C6570D" w:rsidRDefault="003158EF" w:rsidP="003158EF">
      <w:pPr>
        <w:ind w:left="720"/>
        <w:rPr>
          <w:lang w:eastAsia="zh-TW"/>
        </w:rPr>
      </w:pPr>
      <w:r w:rsidRPr="003158EF">
        <w:rPr>
          <w:rFonts w:ascii="-webkit-standard" w:hAnsi="-webkit-standard"/>
          <w:color w:val="000000"/>
          <w:sz w:val="27"/>
          <w:szCs w:val="27"/>
          <w:highlight w:val="yellow"/>
        </w:rPr>
        <w:t>Tesla’s P/E ratio is much higher than the S&amp;P500 because investors expect far stronger earnings growth. Tesla has shown rapid historical growth and is projected to expand further with EV demand, battery technology, and new businesses. In contrast, the S&amp;P500 consists mainly of mature firms with slower growth, so their P/E ratios are much lower.</w:t>
      </w:r>
    </w:p>
    <w:p w14:paraId="174BDB96" w14:textId="6C0428A8" w:rsidR="00071703" w:rsidRDefault="00071703" w:rsidP="00C6570D">
      <w:pPr>
        <w:rPr>
          <w:lang w:eastAsia="zh-TW"/>
        </w:rPr>
      </w:pPr>
    </w:p>
    <w:p w14:paraId="5EEE12E3" w14:textId="77777777" w:rsidR="00071703" w:rsidRDefault="00071703" w:rsidP="00C6570D">
      <w:pPr>
        <w:rPr>
          <w:lang w:eastAsia="zh-TW"/>
        </w:rPr>
      </w:pPr>
    </w:p>
    <w:p w14:paraId="50BD197B" w14:textId="0B30F2E1" w:rsidR="00C6570D" w:rsidRPr="004A3468" w:rsidRDefault="00C6570D" w:rsidP="00C6570D">
      <w:pPr>
        <w:rPr>
          <w:u w:val="single"/>
        </w:rPr>
      </w:pPr>
      <w:r w:rsidRPr="004A3468">
        <w:rPr>
          <w:u w:val="single"/>
        </w:rPr>
        <w:t xml:space="preserve">Part II: Calculating </w:t>
      </w:r>
      <w:r w:rsidR="0025121E">
        <w:rPr>
          <w:u w:val="single"/>
        </w:rPr>
        <w:t>r</w:t>
      </w:r>
      <w:r w:rsidRPr="004A3468">
        <w:rPr>
          <w:u w:val="single"/>
        </w:rPr>
        <w:t>isk measures for stocks and bonds</w:t>
      </w:r>
    </w:p>
    <w:p w14:paraId="0187647F" w14:textId="77777777" w:rsidR="00C6570D" w:rsidRDefault="00C6570D" w:rsidP="00C6570D"/>
    <w:p w14:paraId="42270353" w14:textId="7D51FEFB" w:rsidR="00C6570D" w:rsidRDefault="00C6570D" w:rsidP="00C6570D">
      <w:pPr>
        <w:pStyle w:val="a6"/>
        <w:numPr>
          <w:ilvl w:val="0"/>
          <w:numId w:val="7"/>
        </w:numPr>
      </w:pPr>
      <w:r>
        <w:t>Using the historical data on monthly stock returns</w:t>
      </w:r>
      <w:r w:rsidR="00EA1C33">
        <w:t xml:space="preserve"> and</w:t>
      </w:r>
      <w:r>
        <w:t xml:space="preserve"> 10-year Treasury bonds</w:t>
      </w:r>
      <w:r w:rsidR="0032489B">
        <w:t xml:space="preserve"> from the</w:t>
      </w:r>
      <w:r w:rsidR="0025121E">
        <w:t xml:space="preserve"> </w:t>
      </w:r>
      <w:r w:rsidR="0025121E">
        <w:rPr>
          <w:sz w:val="22"/>
          <w:szCs w:val="22"/>
        </w:rPr>
        <w:t>Assignment_1_MF402_2025.xlsx</w:t>
      </w:r>
      <w:r w:rsidR="0032489B">
        <w:t xml:space="preserve"> file</w:t>
      </w:r>
      <w:r>
        <w:t xml:space="preserve">, estimate the following </w:t>
      </w:r>
    </w:p>
    <w:p w14:paraId="6DB760EA" w14:textId="77777777" w:rsidR="00C6570D" w:rsidRDefault="00C6570D" w:rsidP="00C6570D">
      <w:pPr>
        <w:pStyle w:val="a6"/>
        <w:numPr>
          <w:ilvl w:val="1"/>
          <w:numId w:val="7"/>
        </w:numPr>
      </w:pPr>
      <w:r>
        <w:t>Sharpe ratio (the monthly mean excess return divided by the monthly standard deviation</w:t>
      </w:r>
      <w:r w:rsidR="0032489B">
        <w:t>. Multiply by the square root of 12 to annualize</w:t>
      </w:r>
      <w:r>
        <w:t>).</w:t>
      </w:r>
    </w:p>
    <w:p w14:paraId="2F0DED8A" w14:textId="10706E03" w:rsidR="00C6570D" w:rsidRDefault="004971B2" w:rsidP="00C6570D">
      <w:pPr>
        <w:pStyle w:val="a6"/>
        <w:numPr>
          <w:ilvl w:val="1"/>
          <w:numId w:val="7"/>
        </w:numPr>
      </w:pPr>
      <w:r>
        <w:t xml:space="preserve">The </w:t>
      </w:r>
      <w:r w:rsidR="002B4D1D">
        <w:t>1</w:t>
      </w:r>
      <w:r w:rsidR="00C6570D">
        <w:t xml:space="preserve">% </w:t>
      </w:r>
      <w:r w:rsidR="0032489B">
        <w:t>V</w:t>
      </w:r>
      <w:r w:rsidR="00C6570D">
        <w:t xml:space="preserve">alue at risk (sort the returns data, then report the </w:t>
      </w:r>
      <w:r w:rsidR="00957AFF">
        <w:t>third</w:t>
      </w:r>
      <w:r w:rsidR="00C6570D">
        <w:t xml:space="preserve"> percentile of the empirical return distribution).</w:t>
      </w:r>
    </w:p>
    <w:p w14:paraId="445E9CC7" w14:textId="19E0025B" w:rsidR="00C6570D" w:rsidRDefault="00C6570D" w:rsidP="00C6570D">
      <w:pPr>
        <w:pStyle w:val="a6"/>
        <w:numPr>
          <w:ilvl w:val="1"/>
          <w:numId w:val="7"/>
        </w:numPr>
      </w:pPr>
      <w:r>
        <w:t xml:space="preserve">Expected shortfall at α = </w:t>
      </w:r>
      <w:r w:rsidR="00957AFF">
        <w:t>3</w:t>
      </w:r>
      <w:r>
        <w:t xml:space="preserve">%. (average of returns below </w:t>
      </w:r>
      <w:r w:rsidR="00E948D0">
        <w:t xml:space="preserve">the </w:t>
      </w:r>
      <w:r w:rsidR="00957AFF">
        <w:t>3</w:t>
      </w:r>
      <w:r>
        <w:t>% Value at Risk cutoff)</w:t>
      </w:r>
      <w:r w:rsidR="008C1ADB">
        <w:t>.</w:t>
      </w:r>
    </w:p>
    <w:p w14:paraId="7CB1495E" w14:textId="77777777" w:rsidR="00C6570D" w:rsidRDefault="00C6570D" w:rsidP="00C6570D">
      <w:pPr>
        <w:pStyle w:val="a6"/>
        <w:numPr>
          <w:ilvl w:val="1"/>
          <w:numId w:val="7"/>
        </w:numPr>
      </w:pPr>
      <w:r>
        <w:t>Skew.</w:t>
      </w:r>
    </w:p>
    <w:p w14:paraId="38589B80" w14:textId="77777777" w:rsidR="00C6570D" w:rsidRDefault="00C6570D" w:rsidP="00C6570D">
      <w:pPr>
        <w:pStyle w:val="a6"/>
        <w:numPr>
          <w:ilvl w:val="1"/>
          <w:numId w:val="7"/>
        </w:numPr>
      </w:pPr>
      <w:r>
        <w:t>Kurtosis.</w:t>
      </w:r>
    </w:p>
    <w:p w14:paraId="3A525D2F" w14:textId="77777777" w:rsidR="004A3468" w:rsidRDefault="004A3468" w:rsidP="00C6570D">
      <w:pPr>
        <w:pStyle w:val="a6"/>
        <w:numPr>
          <w:ilvl w:val="1"/>
          <w:numId w:val="7"/>
        </w:numPr>
      </w:pPr>
      <w:r>
        <w:t>Maximum drawdown over the sample.</w:t>
      </w:r>
    </w:p>
    <w:p w14:paraId="04CDAC32" w14:textId="273E49AE" w:rsidR="00C6570D" w:rsidRDefault="00957AFF" w:rsidP="00C6570D">
      <w:pPr>
        <w:pStyle w:val="a6"/>
        <w:numPr>
          <w:ilvl w:val="1"/>
          <w:numId w:val="7"/>
        </w:numPr>
      </w:pPr>
      <w:r>
        <w:t>Are</w:t>
      </w:r>
      <w:r w:rsidR="00C6570D">
        <w:t xml:space="preserve"> </w:t>
      </w:r>
      <w:r w:rsidR="00E948D0">
        <w:t xml:space="preserve">monthly stock </w:t>
      </w:r>
      <w:r w:rsidR="00C6570D">
        <w:t>returns normally distributed?</w:t>
      </w:r>
      <w:r>
        <w:t xml:space="preserve"> Provide a plot </w:t>
      </w:r>
      <w:r w:rsidR="0025121E">
        <w:t xml:space="preserve">of the stock return distribution </w:t>
      </w:r>
      <w:r>
        <w:t xml:space="preserve">and </w:t>
      </w:r>
      <w:r w:rsidR="0025121E">
        <w:t xml:space="preserve">try to </w:t>
      </w:r>
      <w:r>
        <w:t>test this.</w:t>
      </w:r>
    </w:p>
    <w:p w14:paraId="2A6765CA" w14:textId="77777777" w:rsidR="00130909" w:rsidRDefault="00130909" w:rsidP="00130909">
      <w:pPr>
        <w:pStyle w:val="a6"/>
        <w:ind w:left="1440"/>
        <w:rPr>
          <w:lang w:eastAsia="zh-TW"/>
        </w:rPr>
      </w:pPr>
    </w:p>
    <w:p w14:paraId="5ACE5B40" w14:textId="77777777" w:rsidR="00130909" w:rsidRDefault="00130909" w:rsidP="00130909">
      <w:pPr>
        <w:pStyle w:val="a6"/>
        <w:ind w:left="1440"/>
        <w:rPr>
          <w:lang w:eastAsia="zh-TW"/>
        </w:rPr>
      </w:pPr>
    </w:p>
    <w:p w14:paraId="7A2C8788" w14:textId="77777777" w:rsidR="00130909" w:rsidRDefault="00130909" w:rsidP="00130909">
      <w:pPr>
        <w:pStyle w:val="a6"/>
        <w:ind w:left="1440"/>
      </w:pPr>
    </w:p>
    <w:p w14:paraId="3208AB5A" w14:textId="77777777" w:rsidR="00130909" w:rsidRDefault="00130909" w:rsidP="00130909">
      <w:pPr>
        <w:pStyle w:val="Web"/>
        <w:numPr>
          <w:ilvl w:val="0"/>
          <w:numId w:val="11"/>
        </w:numPr>
        <w:rPr>
          <w:color w:val="000000"/>
        </w:rPr>
      </w:pPr>
      <w:r>
        <w:rPr>
          <w:color w:val="000000"/>
        </w:rPr>
        <w:lastRenderedPageBreak/>
        <w:t>年化超額報酬 (ERP) =</w:t>
      </w:r>
      <w:r>
        <w:rPr>
          <w:rStyle w:val="apple-converted-space"/>
          <w:color w:val="000000"/>
        </w:rPr>
        <w:t> </w:t>
      </w:r>
      <w:r>
        <w:rPr>
          <w:rStyle w:val="a8"/>
          <w:color w:val="000000"/>
        </w:rPr>
        <w:t>6.94%</w:t>
      </w:r>
    </w:p>
    <w:p w14:paraId="11A25FE2" w14:textId="196D8EB2" w:rsidR="00130909" w:rsidRPr="007E792B" w:rsidRDefault="00130909" w:rsidP="007E792B">
      <w:pPr>
        <w:rPr>
          <w:rFonts w:ascii="Segoe UI" w:hAnsi="Segoe UI" w:cs="Segoe UI"/>
          <w:color w:val="000000"/>
          <w:sz w:val="22"/>
          <w:szCs w:val="22"/>
          <w:lang w:eastAsia="zh-TW"/>
        </w:rPr>
      </w:pPr>
      <w:r>
        <w:rPr>
          <w:color w:val="000000"/>
        </w:rPr>
        <w:t>Sharpe Ratio (</w:t>
      </w:r>
      <w:proofErr w:type="spellStart"/>
      <w:r>
        <w:rPr>
          <w:color w:val="000000"/>
        </w:rPr>
        <w:t>股票</w:t>
      </w:r>
      <w:proofErr w:type="spellEnd"/>
      <w:r>
        <w:rPr>
          <w:color w:val="000000"/>
        </w:rPr>
        <w:t>) =</w:t>
      </w:r>
      <w:r>
        <w:rPr>
          <w:rStyle w:val="apple-converted-space"/>
          <w:color w:val="000000"/>
        </w:rPr>
        <w:t> </w:t>
      </w:r>
      <w:r w:rsidR="007E792B" w:rsidRPr="007E792B">
        <w:rPr>
          <w:rFonts w:ascii="Segoe UI" w:hAnsi="Segoe UI" w:cs="Segoe UI"/>
          <w:color w:val="000000"/>
          <w:sz w:val="22"/>
          <w:szCs w:val="22"/>
          <w:lang w:eastAsia="zh-TW"/>
        </w:rPr>
        <w:t>0.324555133</w:t>
      </w:r>
    </w:p>
    <w:p w14:paraId="1D451FD2" w14:textId="77777777" w:rsidR="00130909" w:rsidRDefault="00130909" w:rsidP="00130909">
      <w:pPr>
        <w:pStyle w:val="Web"/>
        <w:numPr>
          <w:ilvl w:val="0"/>
          <w:numId w:val="11"/>
        </w:numPr>
        <w:rPr>
          <w:color w:val="000000"/>
        </w:rPr>
      </w:pPr>
      <w:r>
        <w:rPr>
          <w:color w:val="000000"/>
        </w:rPr>
        <w:t>1% Value at Risk (</w:t>
      </w:r>
      <w:proofErr w:type="spellStart"/>
      <w:r>
        <w:rPr>
          <w:color w:val="000000"/>
        </w:rPr>
        <w:t>VaR</w:t>
      </w:r>
      <w:proofErr w:type="spellEnd"/>
      <w:r>
        <w:rPr>
          <w:color w:val="000000"/>
        </w:rPr>
        <w:t>) =</w:t>
      </w:r>
      <w:r>
        <w:rPr>
          <w:rStyle w:val="apple-converted-space"/>
          <w:color w:val="000000"/>
        </w:rPr>
        <w:t> </w:t>
      </w:r>
      <w:r>
        <w:rPr>
          <w:rStyle w:val="a8"/>
          <w:color w:val="000000"/>
        </w:rPr>
        <w:t>–10.5%</w:t>
      </w:r>
    </w:p>
    <w:p w14:paraId="7FE27009" w14:textId="77777777" w:rsidR="00130909" w:rsidRDefault="00130909" w:rsidP="00130909">
      <w:pPr>
        <w:pStyle w:val="Web"/>
        <w:numPr>
          <w:ilvl w:val="0"/>
          <w:numId w:val="11"/>
        </w:numPr>
        <w:rPr>
          <w:color w:val="000000"/>
        </w:rPr>
      </w:pPr>
      <w:r>
        <w:rPr>
          <w:color w:val="000000"/>
        </w:rPr>
        <w:t>Expected Shortfall (ES, 3%) =</w:t>
      </w:r>
      <w:r>
        <w:rPr>
          <w:rStyle w:val="apple-converted-space"/>
          <w:color w:val="000000"/>
        </w:rPr>
        <w:t> </w:t>
      </w:r>
      <w:r>
        <w:rPr>
          <w:rStyle w:val="a8"/>
          <w:color w:val="000000"/>
        </w:rPr>
        <w:t>–10.7%</w:t>
      </w:r>
    </w:p>
    <w:p w14:paraId="2CF104AE" w14:textId="77777777" w:rsidR="00130909" w:rsidRDefault="00130909" w:rsidP="00130909">
      <w:pPr>
        <w:pStyle w:val="Web"/>
        <w:numPr>
          <w:ilvl w:val="0"/>
          <w:numId w:val="11"/>
        </w:numPr>
        <w:rPr>
          <w:color w:val="000000"/>
        </w:rPr>
      </w:pPr>
      <w:r>
        <w:rPr>
          <w:color w:val="000000"/>
        </w:rPr>
        <w:t>Skew (偏態) =</w:t>
      </w:r>
      <w:r>
        <w:rPr>
          <w:rStyle w:val="apple-converted-space"/>
          <w:color w:val="000000"/>
        </w:rPr>
        <w:t> </w:t>
      </w:r>
      <w:r>
        <w:rPr>
          <w:rStyle w:val="a8"/>
          <w:color w:val="000000"/>
        </w:rPr>
        <w:t>–0.43</w:t>
      </w:r>
      <w:r>
        <w:rPr>
          <w:rStyle w:val="apple-converted-space"/>
          <w:color w:val="000000"/>
        </w:rPr>
        <w:t> </w:t>
      </w:r>
      <w:r>
        <w:rPr>
          <w:color w:val="000000"/>
        </w:rPr>
        <w:t>（左偏）</w:t>
      </w:r>
    </w:p>
    <w:p w14:paraId="354D40FB" w14:textId="77777777" w:rsidR="00130909" w:rsidRDefault="00130909" w:rsidP="00130909">
      <w:pPr>
        <w:pStyle w:val="Web"/>
        <w:numPr>
          <w:ilvl w:val="0"/>
          <w:numId w:val="11"/>
        </w:numPr>
        <w:rPr>
          <w:color w:val="000000"/>
        </w:rPr>
      </w:pPr>
      <w:r>
        <w:rPr>
          <w:color w:val="000000"/>
        </w:rPr>
        <w:t>Kurtosis (峰度) =</w:t>
      </w:r>
      <w:r>
        <w:rPr>
          <w:rStyle w:val="apple-converted-space"/>
          <w:color w:val="000000"/>
        </w:rPr>
        <w:t> </w:t>
      </w:r>
      <w:r>
        <w:rPr>
          <w:rStyle w:val="a8"/>
          <w:color w:val="000000"/>
        </w:rPr>
        <w:t>1.62</w:t>
      </w:r>
      <w:r>
        <w:rPr>
          <w:rStyle w:val="apple-converted-space"/>
          <w:color w:val="000000"/>
        </w:rPr>
        <w:t> </w:t>
      </w:r>
      <w:r>
        <w:rPr>
          <w:color w:val="000000"/>
        </w:rPr>
        <w:t>（分布比常態更平坦，厚尾）</w:t>
      </w:r>
    </w:p>
    <w:p w14:paraId="6FC2B8BE" w14:textId="77777777" w:rsidR="00130909" w:rsidRDefault="00130909" w:rsidP="00130909">
      <w:pPr>
        <w:pStyle w:val="Web"/>
        <w:numPr>
          <w:ilvl w:val="0"/>
          <w:numId w:val="11"/>
        </w:numPr>
        <w:rPr>
          <w:color w:val="000000"/>
        </w:rPr>
      </w:pPr>
      <w:r>
        <w:rPr>
          <w:color w:val="000000"/>
        </w:rPr>
        <w:t>最大回撤 (Max Drawdown) =</w:t>
      </w:r>
      <w:r>
        <w:rPr>
          <w:rStyle w:val="apple-converted-space"/>
          <w:color w:val="000000"/>
        </w:rPr>
        <w:t> </w:t>
      </w:r>
      <w:r>
        <w:rPr>
          <w:rStyle w:val="a8"/>
          <w:color w:val="000000"/>
        </w:rPr>
        <w:t>–52.6%</w:t>
      </w:r>
    </w:p>
    <w:p w14:paraId="7E577F62" w14:textId="77777777" w:rsidR="00130909" w:rsidRDefault="00130909" w:rsidP="00130909">
      <w:pPr>
        <w:rPr>
          <w:lang w:eastAsia="zh-TW"/>
        </w:rPr>
      </w:pPr>
    </w:p>
    <w:p w14:paraId="61539EA7" w14:textId="730D9BF0" w:rsidR="004A3468" w:rsidRDefault="004A3468" w:rsidP="004A3468">
      <w:pPr>
        <w:pStyle w:val="a6"/>
        <w:ind w:left="1440"/>
      </w:pPr>
    </w:p>
    <w:p w14:paraId="5FFA581D" w14:textId="50DBB30A" w:rsidR="004A3468" w:rsidRDefault="00C6570D" w:rsidP="004A3468">
      <w:pPr>
        <w:pStyle w:val="a6"/>
        <w:numPr>
          <w:ilvl w:val="0"/>
          <w:numId w:val="7"/>
        </w:numPr>
      </w:pPr>
      <w:r>
        <w:t xml:space="preserve">For an investor with a coefficient of risk aversion A = </w:t>
      </w:r>
      <w:r w:rsidR="001D002D">
        <w:t>4</w:t>
      </w:r>
      <w:r>
        <w:t xml:space="preserve">, compute the optimal allocation to </w:t>
      </w:r>
      <w:r w:rsidR="00EA1C33">
        <w:t>cash (</w:t>
      </w:r>
      <w:r>
        <w:t>T-bills</w:t>
      </w:r>
      <w:r w:rsidR="00EA1C33">
        <w:t>)</w:t>
      </w:r>
      <w:r>
        <w:t xml:space="preserve">, stocks and 10-year T-bonds. </w:t>
      </w:r>
      <w:r w:rsidR="00FE634D">
        <w:t xml:space="preserve">Please assume a risk-free rate 0.0033 per month (or 4% per year) and use </w:t>
      </w:r>
      <w:r>
        <w:t>estimates of the mean, variance and covariance for 10-year Treasury bonds and stocks</w:t>
      </w:r>
      <w:r w:rsidR="00FE634D">
        <w:t xml:space="preserve"> </w:t>
      </w:r>
      <w:r w:rsidR="00FE634D" w:rsidRPr="00FE634D">
        <w:rPr>
          <w:b/>
          <w:bCs/>
        </w:rPr>
        <w:t xml:space="preserve">based on data </w:t>
      </w:r>
      <w:r w:rsidR="00806B62">
        <w:rPr>
          <w:b/>
          <w:bCs/>
        </w:rPr>
        <w:t xml:space="preserve">only </w:t>
      </w:r>
      <w:r w:rsidR="00FE634D" w:rsidRPr="00FE634D">
        <w:rPr>
          <w:b/>
          <w:bCs/>
        </w:rPr>
        <w:t>up to 1999:12</w:t>
      </w:r>
      <w:r>
        <w:t xml:space="preserve">. [hint: to do this, you can use </w:t>
      </w:r>
      <w:r w:rsidR="00F928FC">
        <w:t>L</w:t>
      </w:r>
      <w:r w:rsidR="00535285">
        <w:t xml:space="preserve">ecture </w:t>
      </w:r>
      <w:r w:rsidR="00F928FC">
        <w:t xml:space="preserve">1 </w:t>
      </w:r>
      <w:r w:rsidR="00535285">
        <w:t xml:space="preserve">slides </w:t>
      </w:r>
      <w:r w:rsidR="003A6E64">
        <w:t>6</w:t>
      </w:r>
      <w:r w:rsidR="001D002D">
        <w:t>7</w:t>
      </w:r>
      <w:r w:rsidR="009F049B">
        <w:t>-7</w:t>
      </w:r>
      <w:r w:rsidR="001D002D">
        <w:t>1</w:t>
      </w:r>
      <w:r w:rsidR="00EA1C33">
        <w:t>.</w:t>
      </w:r>
      <w:r>
        <w:t xml:space="preserve">] </w:t>
      </w:r>
    </w:p>
    <w:p w14:paraId="231E3B91" w14:textId="77777777" w:rsidR="00FE634D" w:rsidRDefault="00FE634D" w:rsidP="00FE634D">
      <w:pPr>
        <w:pStyle w:val="a6"/>
      </w:pPr>
    </w:p>
    <w:p w14:paraId="6612C177" w14:textId="5D28C502" w:rsidR="00FE634D" w:rsidRDefault="00FE634D" w:rsidP="004A3468">
      <w:pPr>
        <w:pStyle w:val="a6"/>
        <w:numPr>
          <w:ilvl w:val="0"/>
          <w:numId w:val="7"/>
        </w:numPr>
      </w:pPr>
      <w:r>
        <w:t xml:space="preserve">Using the optimal weights </w:t>
      </w:r>
      <w:r w:rsidR="00806B62">
        <w:t>on</w:t>
      </w:r>
      <w:r>
        <w:t xml:space="preserve"> risk-free T-bills, 10-year bonds, and stocks from </w:t>
      </w:r>
      <w:r w:rsidR="00806B62">
        <w:t>question II.</w:t>
      </w:r>
      <w:r>
        <w:t xml:space="preserve">2, compute the mean, standard deviation and Sharpe Ratio of this portfolio </w:t>
      </w:r>
      <w:r w:rsidR="001D002D">
        <w:t xml:space="preserve">(all annualized) </w:t>
      </w:r>
      <w:r>
        <w:t xml:space="preserve">if you had kept those weights in place from </w:t>
      </w:r>
      <w:r w:rsidRPr="001D002D">
        <w:rPr>
          <w:b/>
          <w:bCs/>
        </w:rPr>
        <w:t>2000:01 – 2024:12</w:t>
      </w:r>
      <w:r>
        <w:t>. You can assume a return of 0.0033 per month (</w:t>
      </w:r>
      <w:r w:rsidR="00806B62">
        <w:t xml:space="preserve">0.04 or </w:t>
      </w:r>
      <w:r>
        <w:t xml:space="preserve">4% annualized) on the risk-free T-bills. </w:t>
      </w:r>
    </w:p>
    <w:p w14:paraId="70978E63" w14:textId="77777777" w:rsidR="00FE634D" w:rsidRDefault="00FE634D" w:rsidP="00FE634D">
      <w:pPr>
        <w:pStyle w:val="a6"/>
      </w:pPr>
    </w:p>
    <w:p w14:paraId="463EC1A4" w14:textId="2039D6B9" w:rsidR="00FE634D" w:rsidRDefault="00FE634D" w:rsidP="004A3468">
      <w:pPr>
        <w:pStyle w:val="a6"/>
        <w:numPr>
          <w:ilvl w:val="0"/>
          <w:numId w:val="7"/>
        </w:numPr>
      </w:pPr>
      <w:r>
        <w:t xml:space="preserve">Next, </w:t>
      </w:r>
      <w:r w:rsidR="00812FAD">
        <w:t xml:space="preserve">using </w:t>
      </w:r>
      <w:r w:rsidR="00806B62">
        <w:t xml:space="preserve">returns </w:t>
      </w:r>
      <w:r w:rsidR="00812FAD">
        <w:t xml:space="preserve">data from </w:t>
      </w:r>
      <w:r w:rsidR="00812FAD" w:rsidRPr="001D002D">
        <w:rPr>
          <w:b/>
          <w:bCs/>
        </w:rPr>
        <w:t>2000:01 – 2024:12</w:t>
      </w:r>
      <w:r w:rsidR="00812FAD">
        <w:t xml:space="preserve">, </w:t>
      </w:r>
      <w:r>
        <w:t>compute the mean</w:t>
      </w:r>
      <w:r w:rsidR="00812FAD">
        <w:t xml:space="preserve"> and</w:t>
      </w:r>
      <w:r>
        <w:t xml:space="preserve"> standard deviation </w:t>
      </w:r>
      <w:r w:rsidR="00812FAD">
        <w:t xml:space="preserve">of returns as well as the </w:t>
      </w:r>
      <w:r>
        <w:t xml:space="preserve">Sharpe ratio </w:t>
      </w:r>
      <w:r w:rsidR="00806B62">
        <w:t xml:space="preserve">(all annualized) </w:t>
      </w:r>
      <w:r>
        <w:t xml:space="preserve">of a portfolio with a fixed 60% allocation to stocks and 40% allocation to 10-year </w:t>
      </w:r>
      <w:r w:rsidR="001D002D">
        <w:t>T-</w:t>
      </w:r>
      <w:r>
        <w:t xml:space="preserve">bonds. </w:t>
      </w:r>
      <w:r w:rsidR="00806B62">
        <w:t>Compared with the result in question II.3, w</w:t>
      </w:r>
      <w:r>
        <w:t>hich portfolio performed best – the 60-40 stock-bond portfolio or the optimal portfolio in part</w:t>
      </w:r>
      <w:r w:rsidR="00812FAD">
        <w:t xml:space="preserve"> </w:t>
      </w:r>
      <w:r w:rsidR="00806B62">
        <w:t>II.3</w:t>
      </w:r>
      <w:r>
        <w:t>?</w:t>
      </w:r>
    </w:p>
    <w:p w14:paraId="253005FF" w14:textId="77777777" w:rsidR="00130909" w:rsidRPr="00130909" w:rsidRDefault="00130909" w:rsidP="00130909">
      <w:pPr>
        <w:spacing w:before="100" w:beforeAutospacing="1" w:after="100" w:afterAutospacing="1"/>
        <w:ind w:firstLineChars="200" w:firstLine="551"/>
        <w:outlineLvl w:val="2"/>
        <w:rPr>
          <w:rFonts w:ascii="新細明體" w:hAnsi="新細明體" w:cs="新細明體"/>
          <w:b/>
          <w:bCs/>
          <w:color w:val="000000"/>
          <w:sz w:val="27"/>
          <w:szCs w:val="27"/>
          <w:lang w:eastAsia="zh-TW"/>
        </w:rPr>
      </w:pPr>
      <w:r w:rsidRPr="00130909">
        <w:rPr>
          <w:rFonts w:ascii="新細明體" w:hAnsi="新細明體" w:cs="新細明體"/>
          <w:b/>
          <w:bCs/>
          <w:color w:val="000000"/>
          <w:sz w:val="27"/>
          <w:szCs w:val="27"/>
          <w:lang w:eastAsia="zh-TW"/>
        </w:rPr>
        <w:t>II.4 固定 60/40 投組 (2000–2024)</w:t>
      </w:r>
    </w:p>
    <w:p w14:paraId="3E62D15E" w14:textId="77777777" w:rsidR="00130909" w:rsidRPr="00130909" w:rsidRDefault="00130909" w:rsidP="00130909">
      <w:pPr>
        <w:numPr>
          <w:ilvl w:val="0"/>
          <w:numId w:val="12"/>
        </w:numPr>
        <w:spacing w:before="100" w:beforeAutospacing="1" w:after="100" w:afterAutospacing="1"/>
        <w:rPr>
          <w:rFonts w:ascii="新細明體" w:hAnsi="新細明體" w:cs="新細明體"/>
          <w:color w:val="000000"/>
          <w:lang w:eastAsia="zh-TW"/>
        </w:rPr>
      </w:pPr>
      <w:r w:rsidRPr="00130909">
        <w:rPr>
          <w:rFonts w:ascii="新細明體" w:hAnsi="新細明體" w:cs="新細明體"/>
          <w:color w:val="000000"/>
          <w:lang w:eastAsia="zh-TW"/>
        </w:rPr>
        <w:t>年化平均報酬 = </w:t>
      </w:r>
      <w:r w:rsidRPr="00130909">
        <w:rPr>
          <w:rFonts w:ascii="新細明體" w:hAnsi="新細明體" w:cs="新細明體"/>
          <w:b/>
          <w:bCs/>
          <w:color w:val="000000"/>
          <w:lang w:eastAsia="zh-TW"/>
        </w:rPr>
        <w:t>6.86%</w:t>
      </w:r>
    </w:p>
    <w:p w14:paraId="7006D2CB" w14:textId="77777777" w:rsidR="00130909" w:rsidRPr="00130909" w:rsidRDefault="00130909" w:rsidP="00130909">
      <w:pPr>
        <w:numPr>
          <w:ilvl w:val="0"/>
          <w:numId w:val="12"/>
        </w:numPr>
        <w:spacing w:before="100" w:beforeAutospacing="1" w:after="100" w:afterAutospacing="1"/>
        <w:rPr>
          <w:rFonts w:ascii="新細明體" w:hAnsi="新細明體" w:cs="新細明體"/>
          <w:color w:val="000000"/>
          <w:lang w:eastAsia="zh-TW"/>
        </w:rPr>
      </w:pPr>
      <w:r w:rsidRPr="00130909">
        <w:rPr>
          <w:rFonts w:ascii="新細明體" w:hAnsi="新細明體" w:cs="新細明體"/>
          <w:color w:val="000000"/>
          <w:lang w:eastAsia="zh-TW"/>
        </w:rPr>
        <w:t>年化標準差 = </w:t>
      </w:r>
      <w:r w:rsidRPr="00130909">
        <w:rPr>
          <w:rFonts w:ascii="新細明體" w:hAnsi="新細明體" w:cs="新細明體"/>
          <w:b/>
          <w:bCs/>
          <w:color w:val="000000"/>
          <w:lang w:eastAsia="zh-TW"/>
        </w:rPr>
        <w:t>9.26%</w:t>
      </w:r>
    </w:p>
    <w:p w14:paraId="39343B26" w14:textId="6398CBBD" w:rsidR="00130909" w:rsidRPr="00130909" w:rsidRDefault="00130909" w:rsidP="00130909">
      <w:pPr>
        <w:numPr>
          <w:ilvl w:val="0"/>
          <w:numId w:val="12"/>
        </w:numPr>
        <w:spacing w:before="100" w:beforeAutospacing="1" w:after="100" w:afterAutospacing="1"/>
        <w:rPr>
          <w:rFonts w:ascii="新細明體" w:hAnsi="新細明體" w:cs="新細明體"/>
          <w:color w:val="000000"/>
          <w:lang w:eastAsia="zh-TW"/>
        </w:rPr>
      </w:pPr>
      <w:r w:rsidRPr="00130909">
        <w:rPr>
          <w:rFonts w:ascii="新細明體" w:hAnsi="新細明體" w:cs="新細明體"/>
          <w:color w:val="000000"/>
          <w:lang w:eastAsia="zh-TW"/>
        </w:rPr>
        <w:t>Sharpe Ratio = </w:t>
      </w:r>
      <w:r w:rsidRPr="00130909">
        <w:rPr>
          <w:rFonts w:ascii="新細明體" w:hAnsi="新細明體" w:cs="新細明體"/>
          <w:b/>
          <w:bCs/>
          <w:color w:val="000000"/>
          <w:lang w:eastAsia="zh-TW"/>
        </w:rPr>
        <w:t>0.31</w:t>
      </w:r>
    </w:p>
    <w:p w14:paraId="091FE96B" w14:textId="77777777" w:rsidR="00130909" w:rsidRDefault="00130909" w:rsidP="00130909">
      <w:pPr>
        <w:rPr>
          <w:lang w:eastAsia="zh-TW"/>
        </w:rPr>
      </w:pPr>
    </w:p>
    <w:p w14:paraId="576CE4ED" w14:textId="77777777" w:rsidR="00812FAD" w:rsidRDefault="00812FAD" w:rsidP="00812FAD">
      <w:pPr>
        <w:pStyle w:val="a6"/>
      </w:pPr>
    </w:p>
    <w:p w14:paraId="772812F9" w14:textId="5846DD03" w:rsidR="00812FAD" w:rsidRDefault="00812FAD" w:rsidP="004A3468">
      <w:pPr>
        <w:pStyle w:val="a6"/>
        <w:numPr>
          <w:ilvl w:val="0"/>
          <w:numId w:val="7"/>
        </w:numPr>
      </w:pPr>
      <w:r>
        <w:t xml:space="preserve">Some investors advocate allocating a small amount of </w:t>
      </w:r>
      <w:r w:rsidR="006B4EB6">
        <w:t>gold to the</w:t>
      </w:r>
      <w:r w:rsidR="00806B62">
        <w:t>ir</w:t>
      </w:r>
      <w:r w:rsidR="006B4EB6">
        <w:t xml:space="preserve"> </w:t>
      </w:r>
      <w:r>
        <w:t xml:space="preserve">portfolio. </w:t>
      </w:r>
      <w:r w:rsidR="00B311DB">
        <w:t xml:space="preserve">Consider a 50-40-10 </w:t>
      </w:r>
      <w:r w:rsidR="00806B62">
        <w:t xml:space="preserve">% </w:t>
      </w:r>
      <w:r w:rsidR="00B311DB">
        <w:t>allocation to stock</w:t>
      </w:r>
      <w:r w:rsidR="00806B62">
        <w:t>s</w:t>
      </w:r>
      <w:r w:rsidR="00B311DB">
        <w:t xml:space="preserve">, 10-year </w:t>
      </w:r>
      <w:r w:rsidR="001D002D">
        <w:t>T-</w:t>
      </w:r>
      <w:r w:rsidR="00B311DB">
        <w:t xml:space="preserve">bonds, </w:t>
      </w:r>
      <w:r w:rsidR="00806B62">
        <w:t xml:space="preserve">and </w:t>
      </w:r>
      <w:r w:rsidR="00B311DB">
        <w:t xml:space="preserve">gold. </w:t>
      </w:r>
      <w:r w:rsidR="001D002D">
        <w:t>Using returns on gold in column I, c</w:t>
      </w:r>
      <w:r w:rsidR="00B311DB">
        <w:t xml:space="preserve">ompute this portfolio’s mean return, standard deviation and Sharpe ratio (all annualized) </w:t>
      </w:r>
      <w:r w:rsidR="00806B62">
        <w:t xml:space="preserve">again </w:t>
      </w:r>
      <w:r w:rsidR="00B311DB">
        <w:t xml:space="preserve">using </w:t>
      </w:r>
      <w:r w:rsidR="00806B62">
        <w:t xml:space="preserve">returns </w:t>
      </w:r>
      <w:r w:rsidR="00B311DB">
        <w:t>data from 2000:01 – 2024:12. Does this portfolio perform better or worse than the 60-40 stock-bond portfolio</w:t>
      </w:r>
      <w:r w:rsidR="00806B62">
        <w:t xml:space="preserve"> from II.4</w:t>
      </w:r>
      <w:r w:rsidR="00B311DB">
        <w:t>?</w:t>
      </w:r>
      <w:r>
        <w:t xml:space="preserve"> </w:t>
      </w:r>
      <w:r w:rsidR="001D002D">
        <w:t>Explain your answer in terms of mean and standard deviation of portfolio returns and the Sharpe ratio.</w:t>
      </w:r>
    </w:p>
    <w:p w14:paraId="417D4A6A" w14:textId="77777777" w:rsidR="00130909" w:rsidRDefault="00130909" w:rsidP="00130909">
      <w:pPr>
        <w:pStyle w:val="a6"/>
      </w:pPr>
    </w:p>
    <w:p w14:paraId="406D97A2" w14:textId="77777777" w:rsidR="00130909" w:rsidRDefault="00130909" w:rsidP="00130909">
      <w:pPr>
        <w:pStyle w:val="3"/>
        <w:rPr>
          <w:color w:val="000000"/>
        </w:rPr>
      </w:pPr>
      <w:r>
        <w:rPr>
          <w:rStyle w:val="a8"/>
          <w:b/>
          <w:bCs/>
          <w:color w:val="000000"/>
        </w:rPr>
        <w:t>II.5 股票–債券–黃金 (50/40/10, 2000–2024)</w:t>
      </w:r>
    </w:p>
    <w:p w14:paraId="475F025C" w14:textId="7C636787" w:rsidR="00130909" w:rsidRPr="007E533B" w:rsidRDefault="00130909" w:rsidP="00130909">
      <w:pPr>
        <w:pStyle w:val="Web"/>
        <w:numPr>
          <w:ilvl w:val="0"/>
          <w:numId w:val="13"/>
        </w:numPr>
        <w:rPr>
          <w:rFonts w:hint="eastAsia"/>
          <w:color w:val="EE0000"/>
        </w:rPr>
      </w:pPr>
      <w:r>
        <w:rPr>
          <w:color w:val="000000"/>
        </w:rPr>
        <w:t>年化平均報酬 =</w:t>
      </w:r>
      <w:r>
        <w:rPr>
          <w:rStyle w:val="apple-converted-space"/>
          <w:color w:val="000000"/>
        </w:rPr>
        <w:t> </w:t>
      </w:r>
      <w:r>
        <w:rPr>
          <w:rStyle w:val="a8"/>
          <w:color w:val="000000"/>
        </w:rPr>
        <w:t>6.87%</w:t>
      </w:r>
      <w:r w:rsidR="007E533B">
        <w:rPr>
          <w:rStyle w:val="a8"/>
          <w:rFonts w:hint="eastAsia"/>
          <w:color w:val="000000"/>
        </w:rPr>
        <w:t>。</w:t>
      </w:r>
      <w:r w:rsidR="007E533B" w:rsidRPr="007E533B">
        <w:rPr>
          <w:rStyle w:val="a8"/>
          <w:rFonts w:hint="eastAsia"/>
          <w:color w:val="EE0000"/>
        </w:rPr>
        <w:t xml:space="preserve"> </w:t>
      </w:r>
      <w:r w:rsidR="007E533B" w:rsidRPr="007E533B">
        <w:rPr>
          <w:rStyle w:val="a8"/>
          <w:color w:val="EE0000"/>
        </w:rPr>
        <w:t>6.72%</w:t>
      </w:r>
    </w:p>
    <w:p w14:paraId="22EA5B77" w14:textId="77777777" w:rsidR="00130909" w:rsidRDefault="00130909" w:rsidP="00130909">
      <w:pPr>
        <w:pStyle w:val="Web"/>
        <w:numPr>
          <w:ilvl w:val="0"/>
          <w:numId w:val="13"/>
        </w:numPr>
        <w:rPr>
          <w:color w:val="000000"/>
        </w:rPr>
      </w:pPr>
      <w:r>
        <w:rPr>
          <w:color w:val="000000"/>
        </w:rPr>
        <w:t>年化標準差 =</w:t>
      </w:r>
      <w:r>
        <w:rPr>
          <w:rStyle w:val="apple-converted-space"/>
          <w:color w:val="000000"/>
        </w:rPr>
        <w:t> </w:t>
      </w:r>
      <w:r>
        <w:rPr>
          <w:rStyle w:val="a8"/>
          <w:color w:val="000000"/>
        </w:rPr>
        <w:t>8.25%</w:t>
      </w:r>
    </w:p>
    <w:p w14:paraId="13C3A81E" w14:textId="77777777" w:rsidR="00130909" w:rsidRDefault="00130909" w:rsidP="00130909">
      <w:pPr>
        <w:pStyle w:val="Web"/>
        <w:numPr>
          <w:ilvl w:val="0"/>
          <w:numId w:val="13"/>
        </w:numPr>
        <w:rPr>
          <w:color w:val="000000"/>
        </w:rPr>
      </w:pPr>
      <w:r>
        <w:rPr>
          <w:color w:val="000000"/>
        </w:rPr>
        <w:t>Sharpe Ratio =</w:t>
      </w:r>
      <w:r>
        <w:rPr>
          <w:rStyle w:val="apple-converted-space"/>
          <w:color w:val="000000"/>
        </w:rPr>
        <w:t> </w:t>
      </w:r>
      <w:r>
        <w:rPr>
          <w:rStyle w:val="a8"/>
          <w:color w:val="000000"/>
        </w:rPr>
        <w:t>0.35</w:t>
      </w:r>
    </w:p>
    <w:p w14:paraId="22133C82" w14:textId="77777777" w:rsidR="004A3468" w:rsidRDefault="004A3468" w:rsidP="004A3468">
      <w:pPr>
        <w:pStyle w:val="a6"/>
      </w:pPr>
    </w:p>
    <w:p w14:paraId="57051740" w14:textId="77777777" w:rsidR="004A3468" w:rsidRDefault="004A3468" w:rsidP="004A3468">
      <w:pPr>
        <w:pStyle w:val="a6"/>
        <w:numPr>
          <w:ilvl w:val="0"/>
          <w:numId w:val="7"/>
        </w:numPr>
      </w:pPr>
      <w:r>
        <w:t>The total return in</w:t>
      </w:r>
      <w:r w:rsidRPr="004A3468">
        <w:t>dexes in colum</w:t>
      </w:r>
      <w:r w:rsidR="00535285">
        <w:t>ns C, F and H show the cumulative</w:t>
      </w:r>
      <w:r w:rsidRPr="004A3468">
        <w:t xml:space="preserve"> returns (including dividends or coupons) on US stocks, 10-year Treasury bonds and 3-month T-bills. You can use these to compute the </w:t>
      </w:r>
      <w:r>
        <w:t>total holding period return over any h-month period as (</w:t>
      </w:r>
      <w:proofErr w:type="spellStart"/>
      <w:r>
        <w:t>Index</w:t>
      </w:r>
      <w:r w:rsidRPr="004A3468">
        <w:rPr>
          <w:vertAlign w:val="subscript"/>
        </w:rPr>
        <w:t>t+h</w:t>
      </w:r>
      <w:r>
        <w:t>-Index</w:t>
      </w:r>
      <w:r w:rsidRPr="004A3468">
        <w:rPr>
          <w:vertAlign w:val="subscript"/>
        </w:rPr>
        <w:t>t</w:t>
      </w:r>
      <w:proofErr w:type="spellEnd"/>
      <w:r>
        <w:t>)/</w:t>
      </w:r>
      <w:proofErr w:type="spellStart"/>
      <w:r>
        <w:t>Index</w:t>
      </w:r>
      <w:r w:rsidRPr="004A3468">
        <w:rPr>
          <w:vertAlign w:val="subscript"/>
        </w:rPr>
        <w:t>t</w:t>
      </w:r>
      <w:proofErr w:type="spellEnd"/>
      <w:r>
        <w:t>. Use this to answer the following questions:</w:t>
      </w:r>
    </w:p>
    <w:p w14:paraId="7959CBC9" w14:textId="5CC04546" w:rsidR="004A3468" w:rsidRDefault="004A3468" w:rsidP="004A3468">
      <w:pPr>
        <w:pStyle w:val="a6"/>
        <w:numPr>
          <w:ilvl w:val="1"/>
          <w:numId w:val="7"/>
        </w:numPr>
      </w:pPr>
      <w:r>
        <w:t xml:space="preserve">How often (as a percentage of time) did stocks underperform </w:t>
      </w:r>
      <w:r w:rsidR="00957AFF">
        <w:t xml:space="preserve">10-year </w:t>
      </w:r>
      <w:r>
        <w:t xml:space="preserve">bonds </w:t>
      </w:r>
      <w:proofErr w:type="gramStart"/>
      <w:r>
        <w:t>on a monthly basis</w:t>
      </w:r>
      <w:proofErr w:type="gramEnd"/>
      <w:r w:rsidR="00535285">
        <w:t xml:space="preserve"> (h=1)</w:t>
      </w:r>
      <w:r>
        <w:t>?</w:t>
      </w:r>
    </w:p>
    <w:p w14:paraId="04EBE08C" w14:textId="77777777" w:rsidR="004A3468" w:rsidRDefault="004A3468" w:rsidP="004A3468">
      <w:pPr>
        <w:pStyle w:val="a6"/>
        <w:numPr>
          <w:ilvl w:val="1"/>
          <w:numId w:val="7"/>
        </w:numPr>
      </w:pPr>
      <w:r>
        <w:t>How often did this happen at the 1-year</w:t>
      </w:r>
      <w:r w:rsidR="00535285">
        <w:t xml:space="preserve"> (h=12)</w:t>
      </w:r>
      <w:r>
        <w:t xml:space="preserve">, 5-year </w:t>
      </w:r>
      <w:r w:rsidR="00535285">
        <w:t xml:space="preserve">(h=60) </w:t>
      </w:r>
      <w:r>
        <w:t>and 10-year horizons</w:t>
      </w:r>
      <w:r w:rsidR="00535285">
        <w:t xml:space="preserve"> (h=120)</w:t>
      </w:r>
      <w:r>
        <w:t>?</w:t>
      </w:r>
    </w:p>
    <w:p w14:paraId="1A29AEFB" w14:textId="77777777" w:rsidR="004A3468" w:rsidRDefault="004A3468" w:rsidP="004A3468">
      <w:pPr>
        <w:pStyle w:val="a6"/>
        <w:numPr>
          <w:ilvl w:val="1"/>
          <w:numId w:val="7"/>
        </w:numPr>
      </w:pPr>
      <w:r>
        <w:t>Are bonds safer than stocks? How does your answer depend on the investment horizon?</w:t>
      </w:r>
    </w:p>
    <w:p w14:paraId="58DB34DB" w14:textId="77777777" w:rsidR="00130909" w:rsidRDefault="00130909" w:rsidP="00130909">
      <w:pPr>
        <w:rPr>
          <w:lang w:eastAsia="zh-TW"/>
        </w:rPr>
      </w:pPr>
    </w:p>
    <w:p w14:paraId="341E9DD3" w14:textId="5D89C097" w:rsidR="00130909" w:rsidRDefault="00130909" w:rsidP="00130909">
      <w:pPr>
        <w:rPr>
          <w:rFonts w:ascii="-webkit-standard" w:hAnsi="-webkit-standard" w:hint="eastAsia"/>
          <w:color w:val="000000"/>
          <w:sz w:val="27"/>
          <w:szCs w:val="27"/>
          <w:lang w:eastAsia="zh-TW"/>
        </w:rPr>
      </w:pPr>
      <w:r>
        <w:rPr>
          <w:rFonts w:ascii="-webkit-standard" w:hAnsi="-webkit-standard"/>
          <w:color w:val="000000"/>
          <w:sz w:val="27"/>
          <w:szCs w:val="27"/>
          <w:lang w:eastAsia="zh-TW"/>
        </w:rPr>
        <w:t xml:space="preserve">II.6 </w:t>
      </w:r>
      <w:r>
        <w:rPr>
          <w:rFonts w:ascii="-webkit-standard" w:hAnsi="-webkit-standard"/>
          <w:color w:val="000000"/>
          <w:sz w:val="27"/>
          <w:szCs w:val="27"/>
          <w:lang w:eastAsia="zh-TW"/>
        </w:rPr>
        <w:t>股票</w:t>
      </w:r>
      <w:r>
        <w:rPr>
          <w:rFonts w:ascii="-webkit-standard" w:hAnsi="-webkit-standard"/>
          <w:color w:val="000000"/>
          <w:sz w:val="27"/>
          <w:szCs w:val="27"/>
          <w:lang w:eastAsia="zh-TW"/>
        </w:rPr>
        <w:t xml:space="preserve"> vs </w:t>
      </w:r>
      <w:r>
        <w:rPr>
          <w:rFonts w:ascii="-webkit-standard" w:hAnsi="-webkit-standard"/>
          <w:color w:val="000000"/>
          <w:sz w:val="27"/>
          <w:szCs w:val="27"/>
          <w:lang w:eastAsia="zh-TW"/>
        </w:rPr>
        <w:t>債券</w:t>
      </w:r>
    </w:p>
    <w:p w14:paraId="5C9D0CBC" w14:textId="61341F6D" w:rsidR="00130909" w:rsidRDefault="00130909" w:rsidP="00130909">
      <w:pPr>
        <w:rPr>
          <w:rFonts w:ascii="-webkit-standard" w:hAnsi="-webkit-standard" w:hint="eastAsia"/>
          <w:color w:val="000000"/>
          <w:sz w:val="27"/>
          <w:szCs w:val="27"/>
          <w:lang w:eastAsia="zh-TW"/>
        </w:rPr>
      </w:pPr>
      <w:r>
        <w:rPr>
          <w:rFonts w:ascii="-webkit-standard" w:hAnsi="-webkit-standard"/>
          <w:color w:val="000000"/>
          <w:sz w:val="27"/>
          <w:szCs w:val="27"/>
          <w:lang w:eastAsia="zh-TW"/>
        </w:rPr>
        <w:t xml:space="preserve">h = 1 </w:t>
      </w:r>
      <w:r>
        <w:rPr>
          <w:rFonts w:ascii="-webkit-standard" w:hAnsi="-webkit-standard"/>
          <w:color w:val="000000"/>
          <w:sz w:val="27"/>
          <w:szCs w:val="27"/>
          <w:lang w:eastAsia="zh-TW"/>
        </w:rPr>
        <w:t>個月</w:t>
      </w:r>
      <w:r>
        <w:rPr>
          <w:rFonts w:ascii="-webkit-standard" w:hAnsi="-webkit-standard"/>
          <w:color w:val="000000"/>
          <w:sz w:val="27"/>
          <w:szCs w:val="27"/>
          <w:lang w:eastAsia="zh-TW"/>
        </w:rPr>
        <w:t xml:space="preserve"> → </w:t>
      </w:r>
      <w:r>
        <w:rPr>
          <w:rFonts w:ascii="-webkit-standard" w:hAnsi="-webkit-standard"/>
          <w:color w:val="000000"/>
          <w:sz w:val="27"/>
          <w:szCs w:val="27"/>
          <w:lang w:eastAsia="zh-TW"/>
        </w:rPr>
        <w:t>股票輸債券</w:t>
      </w:r>
      <w:r>
        <w:rPr>
          <w:rFonts w:ascii="-webkit-standard" w:hAnsi="-webkit-standard" w:hint="eastAsia"/>
          <w:color w:val="000000"/>
          <w:sz w:val="27"/>
          <w:szCs w:val="27"/>
          <w:lang w:eastAsia="zh-TW"/>
        </w:rPr>
        <w:t xml:space="preserve">  </w:t>
      </w:r>
      <w:r>
        <w:rPr>
          <w:rFonts w:ascii="-webkit-standard" w:hAnsi="-webkit-standard"/>
          <w:color w:val="000000"/>
          <w:sz w:val="27"/>
          <w:szCs w:val="27"/>
          <w:lang w:eastAsia="zh-TW"/>
        </w:rPr>
        <w:t>44.8%</w:t>
      </w:r>
    </w:p>
    <w:p w14:paraId="14B2BF9D" w14:textId="2D8DB69F" w:rsidR="00130909" w:rsidRDefault="00130909" w:rsidP="00130909">
      <w:pPr>
        <w:rPr>
          <w:rFonts w:ascii="-webkit-standard" w:hAnsi="-webkit-standard" w:hint="eastAsia"/>
          <w:color w:val="000000"/>
          <w:sz w:val="27"/>
          <w:szCs w:val="27"/>
          <w:lang w:eastAsia="zh-TW"/>
        </w:rPr>
      </w:pPr>
      <w:r>
        <w:rPr>
          <w:rFonts w:ascii="-webkit-standard" w:hAnsi="-webkit-standard"/>
          <w:color w:val="000000"/>
          <w:sz w:val="27"/>
          <w:szCs w:val="27"/>
          <w:lang w:eastAsia="zh-TW"/>
        </w:rPr>
        <w:t xml:space="preserve">h = 12 </w:t>
      </w:r>
      <w:r>
        <w:rPr>
          <w:rFonts w:ascii="-webkit-standard" w:hAnsi="-webkit-standard"/>
          <w:color w:val="000000"/>
          <w:sz w:val="27"/>
          <w:szCs w:val="27"/>
          <w:lang w:eastAsia="zh-TW"/>
        </w:rPr>
        <w:t>個月</w:t>
      </w:r>
      <w:r>
        <w:rPr>
          <w:rFonts w:ascii="-webkit-standard" w:hAnsi="-webkit-standard"/>
          <w:color w:val="000000"/>
          <w:sz w:val="27"/>
          <w:szCs w:val="27"/>
          <w:lang w:eastAsia="zh-TW"/>
        </w:rPr>
        <w:t xml:space="preserve"> (1 </w:t>
      </w:r>
      <w:r>
        <w:rPr>
          <w:rFonts w:ascii="-webkit-standard" w:hAnsi="-webkit-standard"/>
          <w:color w:val="000000"/>
          <w:sz w:val="27"/>
          <w:szCs w:val="27"/>
          <w:lang w:eastAsia="zh-TW"/>
        </w:rPr>
        <w:t>年</w:t>
      </w:r>
      <w:r>
        <w:rPr>
          <w:rFonts w:ascii="-webkit-standard" w:hAnsi="-webkit-standard"/>
          <w:color w:val="000000"/>
          <w:sz w:val="27"/>
          <w:szCs w:val="27"/>
          <w:lang w:eastAsia="zh-TW"/>
        </w:rPr>
        <w:t>)</w:t>
      </w:r>
      <w:r>
        <w:rPr>
          <w:rFonts w:ascii="-webkit-standard" w:hAnsi="-webkit-standard" w:hint="eastAsia"/>
          <w:color w:val="000000"/>
          <w:sz w:val="27"/>
          <w:szCs w:val="27"/>
          <w:lang w:eastAsia="zh-TW"/>
        </w:rPr>
        <w:t xml:space="preserve"> </w:t>
      </w:r>
      <w:r>
        <w:rPr>
          <w:rFonts w:ascii="-webkit-standard" w:hAnsi="-webkit-standard"/>
          <w:color w:val="000000"/>
          <w:sz w:val="27"/>
          <w:szCs w:val="27"/>
          <w:lang w:eastAsia="zh-TW"/>
        </w:rPr>
        <w:t>40.6%</w:t>
      </w:r>
    </w:p>
    <w:p w14:paraId="0914F9DA" w14:textId="5772B41C" w:rsidR="00130909" w:rsidRDefault="00130909" w:rsidP="00130909">
      <w:pPr>
        <w:rPr>
          <w:rFonts w:ascii="-webkit-standard" w:hAnsi="-webkit-standard" w:hint="eastAsia"/>
          <w:color w:val="000000"/>
          <w:sz w:val="27"/>
          <w:szCs w:val="27"/>
          <w:lang w:eastAsia="zh-TW"/>
        </w:rPr>
      </w:pPr>
      <w:r>
        <w:rPr>
          <w:rFonts w:ascii="-webkit-standard" w:hAnsi="-webkit-standard"/>
          <w:color w:val="000000"/>
          <w:sz w:val="27"/>
          <w:szCs w:val="27"/>
          <w:lang w:eastAsia="zh-TW"/>
        </w:rPr>
        <w:t xml:space="preserve">h = 60 </w:t>
      </w:r>
      <w:r>
        <w:rPr>
          <w:rFonts w:ascii="-webkit-standard" w:hAnsi="-webkit-standard"/>
          <w:color w:val="000000"/>
          <w:sz w:val="27"/>
          <w:szCs w:val="27"/>
          <w:lang w:eastAsia="zh-TW"/>
        </w:rPr>
        <w:t>個月</w:t>
      </w:r>
      <w:r>
        <w:rPr>
          <w:rFonts w:ascii="-webkit-standard" w:hAnsi="-webkit-standard"/>
          <w:color w:val="000000"/>
          <w:sz w:val="27"/>
          <w:szCs w:val="27"/>
          <w:lang w:eastAsia="zh-TW"/>
        </w:rPr>
        <w:t xml:space="preserve"> (5 </w:t>
      </w:r>
      <w:r>
        <w:rPr>
          <w:rFonts w:ascii="-webkit-standard" w:hAnsi="-webkit-standard"/>
          <w:color w:val="000000"/>
          <w:sz w:val="27"/>
          <w:szCs w:val="27"/>
          <w:lang w:eastAsia="zh-TW"/>
        </w:rPr>
        <w:t>年</w:t>
      </w:r>
      <w:r>
        <w:rPr>
          <w:rFonts w:ascii="-webkit-standard" w:hAnsi="-webkit-standard"/>
          <w:color w:val="000000"/>
          <w:sz w:val="27"/>
          <w:szCs w:val="27"/>
          <w:lang w:eastAsia="zh-TW"/>
        </w:rPr>
        <w:t>)</w:t>
      </w:r>
      <w:r>
        <w:rPr>
          <w:rFonts w:ascii="-webkit-standard" w:hAnsi="-webkit-standard" w:hint="eastAsia"/>
          <w:color w:val="000000"/>
          <w:sz w:val="27"/>
          <w:szCs w:val="27"/>
          <w:lang w:eastAsia="zh-TW"/>
        </w:rPr>
        <w:t xml:space="preserve"> </w:t>
      </w:r>
      <w:r>
        <w:rPr>
          <w:rFonts w:ascii="-webkit-standard" w:hAnsi="-webkit-standard"/>
          <w:color w:val="000000"/>
          <w:sz w:val="27"/>
          <w:szCs w:val="27"/>
          <w:lang w:eastAsia="zh-TW"/>
        </w:rPr>
        <w:t>45.0%</w:t>
      </w:r>
    </w:p>
    <w:p w14:paraId="50576903" w14:textId="26B5FF6A" w:rsidR="00130909" w:rsidRDefault="00130909" w:rsidP="00130909">
      <w:pPr>
        <w:rPr>
          <w:lang w:eastAsia="zh-TW"/>
        </w:rPr>
      </w:pPr>
      <w:r>
        <w:rPr>
          <w:rFonts w:ascii="-webkit-standard" w:hAnsi="-webkit-standard"/>
          <w:color w:val="000000"/>
          <w:sz w:val="27"/>
          <w:szCs w:val="27"/>
          <w:lang w:eastAsia="zh-TW"/>
        </w:rPr>
        <w:t xml:space="preserve">h = 120 </w:t>
      </w:r>
      <w:r>
        <w:rPr>
          <w:rFonts w:ascii="-webkit-standard" w:hAnsi="-webkit-standard"/>
          <w:color w:val="000000"/>
          <w:sz w:val="27"/>
          <w:szCs w:val="27"/>
          <w:lang w:eastAsia="zh-TW"/>
        </w:rPr>
        <w:t>個月</w:t>
      </w:r>
      <w:r>
        <w:rPr>
          <w:rFonts w:ascii="-webkit-standard" w:hAnsi="-webkit-standard"/>
          <w:color w:val="000000"/>
          <w:sz w:val="27"/>
          <w:szCs w:val="27"/>
          <w:lang w:eastAsia="zh-TW"/>
        </w:rPr>
        <w:t xml:space="preserve"> (10 </w:t>
      </w:r>
      <w:r>
        <w:rPr>
          <w:rFonts w:ascii="-webkit-standard" w:hAnsi="-webkit-standard"/>
          <w:color w:val="000000"/>
          <w:sz w:val="27"/>
          <w:szCs w:val="27"/>
          <w:lang w:eastAsia="zh-TW"/>
        </w:rPr>
        <w:t>年</w:t>
      </w:r>
      <w:r>
        <w:rPr>
          <w:rFonts w:ascii="-webkit-standard" w:hAnsi="-webkit-standard"/>
          <w:color w:val="000000"/>
          <w:sz w:val="27"/>
          <w:szCs w:val="27"/>
          <w:lang w:eastAsia="zh-TW"/>
        </w:rPr>
        <w:t>)</w:t>
      </w:r>
      <w:r>
        <w:rPr>
          <w:rFonts w:ascii="-webkit-standard" w:hAnsi="-webkit-standard" w:hint="eastAsia"/>
          <w:color w:val="000000"/>
          <w:sz w:val="27"/>
          <w:szCs w:val="27"/>
          <w:lang w:eastAsia="zh-TW"/>
        </w:rPr>
        <w:t xml:space="preserve"> </w:t>
      </w:r>
      <w:r>
        <w:rPr>
          <w:rFonts w:ascii="-webkit-standard" w:hAnsi="-webkit-standard"/>
          <w:color w:val="000000"/>
          <w:sz w:val="27"/>
          <w:szCs w:val="27"/>
          <w:lang w:eastAsia="zh-TW"/>
        </w:rPr>
        <w:t>43.9%</w:t>
      </w:r>
    </w:p>
    <w:sectPr w:rsidR="001309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E9F"/>
    <w:multiLevelType w:val="hybridMultilevel"/>
    <w:tmpl w:val="EBB042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46D67"/>
    <w:multiLevelType w:val="multilevel"/>
    <w:tmpl w:val="AD9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1853"/>
    <w:multiLevelType w:val="hybridMultilevel"/>
    <w:tmpl w:val="096CC88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51B9F"/>
    <w:multiLevelType w:val="hybridMultilevel"/>
    <w:tmpl w:val="D56AD0B6"/>
    <w:lvl w:ilvl="0" w:tplc="245EAD46">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D05657"/>
    <w:multiLevelType w:val="hybridMultilevel"/>
    <w:tmpl w:val="496046E6"/>
    <w:lvl w:ilvl="0" w:tplc="8B1AD6A0">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DD31BA"/>
    <w:multiLevelType w:val="multilevel"/>
    <w:tmpl w:val="F3AA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C17AE"/>
    <w:multiLevelType w:val="hybridMultilevel"/>
    <w:tmpl w:val="AF026FBC"/>
    <w:lvl w:ilvl="0" w:tplc="30C2CC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DC41B5"/>
    <w:multiLevelType w:val="hybridMultilevel"/>
    <w:tmpl w:val="0FF6C43A"/>
    <w:lvl w:ilvl="0" w:tplc="19DA2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87229"/>
    <w:multiLevelType w:val="hybridMultilevel"/>
    <w:tmpl w:val="E8EAD72C"/>
    <w:lvl w:ilvl="0" w:tplc="3B9093B4">
      <w:start w:val="9"/>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EAD6ADD"/>
    <w:multiLevelType w:val="multilevel"/>
    <w:tmpl w:val="EA6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E3C5C"/>
    <w:multiLevelType w:val="hybridMultilevel"/>
    <w:tmpl w:val="FA7E44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69E6A53"/>
    <w:multiLevelType w:val="hybridMultilevel"/>
    <w:tmpl w:val="36DE2DF2"/>
    <w:lvl w:ilvl="0" w:tplc="A4223CDC">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FC507B2"/>
    <w:multiLevelType w:val="hybridMultilevel"/>
    <w:tmpl w:val="9FBEC378"/>
    <w:lvl w:ilvl="0" w:tplc="722C6DF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47022644">
    <w:abstractNumId w:val="4"/>
  </w:num>
  <w:num w:numId="2" w16cid:durableId="116610843">
    <w:abstractNumId w:val="3"/>
  </w:num>
  <w:num w:numId="3" w16cid:durableId="2129081543">
    <w:abstractNumId w:val="8"/>
  </w:num>
  <w:num w:numId="4" w16cid:durableId="1687058194">
    <w:abstractNumId w:val="10"/>
  </w:num>
  <w:num w:numId="5" w16cid:durableId="823817635">
    <w:abstractNumId w:val="12"/>
  </w:num>
  <w:num w:numId="6" w16cid:durableId="1324356128">
    <w:abstractNumId w:val="6"/>
  </w:num>
  <w:num w:numId="7" w16cid:durableId="914511050">
    <w:abstractNumId w:val="0"/>
  </w:num>
  <w:num w:numId="8" w16cid:durableId="2129083871">
    <w:abstractNumId w:val="11"/>
  </w:num>
  <w:num w:numId="9" w16cid:durableId="440034557">
    <w:abstractNumId w:val="7"/>
  </w:num>
  <w:num w:numId="10" w16cid:durableId="1358233786">
    <w:abstractNumId w:val="2"/>
  </w:num>
  <w:num w:numId="11" w16cid:durableId="408188350">
    <w:abstractNumId w:val="5"/>
  </w:num>
  <w:num w:numId="12" w16cid:durableId="674189033">
    <w:abstractNumId w:val="9"/>
  </w:num>
  <w:num w:numId="13" w16cid:durableId="451485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41"/>
    <w:rsid w:val="00005D42"/>
    <w:rsid w:val="00050370"/>
    <w:rsid w:val="00070642"/>
    <w:rsid w:val="00071703"/>
    <w:rsid w:val="000B1D15"/>
    <w:rsid w:val="000B6398"/>
    <w:rsid w:val="000B700C"/>
    <w:rsid w:val="000E5F24"/>
    <w:rsid w:val="001017AF"/>
    <w:rsid w:val="00130909"/>
    <w:rsid w:val="00146170"/>
    <w:rsid w:val="00185AD6"/>
    <w:rsid w:val="001901B5"/>
    <w:rsid w:val="001B1F0D"/>
    <w:rsid w:val="001B5526"/>
    <w:rsid w:val="001C1991"/>
    <w:rsid w:val="001D002D"/>
    <w:rsid w:val="00242002"/>
    <w:rsid w:val="0025121E"/>
    <w:rsid w:val="00260DE9"/>
    <w:rsid w:val="002A37A5"/>
    <w:rsid w:val="002B4D1D"/>
    <w:rsid w:val="002D657F"/>
    <w:rsid w:val="002F3966"/>
    <w:rsid w:val="0031391C"/>
    <w:rsid w:val="003158EF"/>
    <w:rsid w:val="0032489B"/>
    <w:rsid w:val="00334739"/>
    <w:rsid w:val="0033786A"/>
    <w:rsid w:val="00363E44"/>
    <w:rsid w:val="00394E38"/>
    <w:rsid w:val="003A6E64"/>
    <w:rsid w:val="003B4144"/>
    <w:rsid w:val="003E1963"/>
    <w:rsid w:val="004656B1"/>
    <w:rsid w:val="00472966"/>
    <w:rsid w:val="004971B2"/>
    <w:rsid w:val="004A3468"/>
    <w:rsid w:val="00534D17"/>
    <w:rsid w:val="00535285"/>
    <w:rsid w:val="00564937"/>
    <w:rsid w:val="00644871"/>
    <w:rsid w:val="00657F48"/>
    <w:rsid w:val="006B4EB6"/>
    <w:rsid w:val="006E68B8"/>
    <w:rsid w:val="006F79D8"/>
    <w:rsid w:val="00703F87"/>
    <w:rsid w:val="007543BE"/>
    <w:rsid w:val="00767F1C"/>
    <w:rsid w:val="007B5C58"/>
    <w:rsid w:val="007C2D5B"/>
    <w:rsid w:val="007E426E"/>
    <w:rsid w:val="007E533B"/>
    <w:rsid w:val="007E792B"/>
    <w:rsid w:val="00806B62"/>
    <w:rsid w:val="00812FAD"/>
    <w:rsid w:val="008748B2"/>
    <w:rsid w:val="008836EC"/>
    <w:rsid w:val="00885617"/>
    <w:rsid w:val="00886794"/>
    <w:rsid w:val="00895EFF"/>
    <w:rsid w:val="008A0281"/>
    <w:rsid w:val="008C1ADB"/>
    <w:rsid w:val="008C52CD"/>
    <w:rsid w:val="00911712"/>
    <w:rsid w:val="00924C43"/>
    <w:rsid w:val="0094128F"/>
    <w:rsid w:val="00957AFF"/>
    <w:rsid w:val="00963D37"/>
    <w:rsid w:val="00983B98"/>
    <w:rsid w:val="00994E86"/>
    <w:rsid w:val="00995C0E"/>
    <w:rsid w:val="009B041E"/>
    <w:rsid w:val="009C1F66"/>
    <w:rsid w:val="009F049B"/>
    <w:rsid w:val="00A63F8F"/>
    <w:rsid w:val="00AD2C7C"/>
    <w:rsid w:val="00AF4DD4"/>
    <w:rsid w:val="00B167B8"/>
    <w:rsid w:val="00B23D28"/>
    <w:rsid w:val="00B311DB"/>
    <w:rsid w:val="00B4483F"/>
    <w:rsid w:val="00B70706"/>
    <w:rsid w:val="00B7736B"/>
    <w:rsid w:val="00BA59CE"/>
    <w:rsid w:val="00C20895"/>
    <w:rsid w:val="00C57AE1"/>
    <w:rsid w:val="00C64E3A"/>
    <w:rsid w:val="00C6570D"/>
    <w:rsid w:val="00CC4341"/>
    <w:rsid w:val="00D1207A"/>
    <w:rsid w:val="00D61D42"/>
    <w:rsid w:val="00D7370D"/>
    <w:rsid w:val="00DA1F41"/>
    <w:rsid w:val="00DD7BF1"/>
    <w:rsid w:val="00DE7CE9"/>
    <w:rsid w:val="00E06CD6"/>
    <w:rsid w:val="00E52924"/>
    <w:rsid w:val="00E5665D"/>
    <w:rsid w:val="00E638BA"/>
    <w:rsid w:val="00E948D0"/>
    <w:rsid w:val="00EA1C33"/>
    <w:rsid w:val="00EB4449"/>
    <w:rsid w:val="00EC4F5B"/>
    <w:rsid w:val="00F275C3"/>
    <w:rsid w:val="00F33AA0"/>
    <w:rsid w:val="00F40B8D"/>
    <w:rsid w:val="00F47DE2"/>
    <w:rsid w:val="00F538C9"/>
    <w:rsid w:val="00F85F03"/>
    <w:rsid w:val="00F928FC"/>
    <w:rsid w:val="00FE63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6D66A"/>
  <w15:docId w15:val="{89492535-8202-4054-9D31-6FAB3434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3">
    <w:name w:val="heading 3"/>
    <w:basedOn w:val="a"/>
    <w:link w:val="30"/>
    <w:uiPriority w:val="9"/>
    <w:qFormat/>
    <w:rsid w:val="00130909"/>
    <w:pPr>
      <w:spacing w:before="100" w:beforeAutospacing="1" w:after="100" w:afterAutospacing="1"/>
      <w:outlineLvl w:val="2"/>
    </w:pPr>
    <w:rPr>
      <w:rFonts w:ascii="新細明體" w:hAnsi="新細明體" w:cs="新細明體"/>
      <w:b/>
      <w:bCs/>
      <w:sz w:val="27"/>
      <w:szCs w:val="27"/>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alloon Text"/>
    <w:basedOn w:val="a"/>
    <w:semiHidden/>
    <w:rPr>
      <w:rFonts w:ascii="Tahoma" w:hAnsi="Tahoma" w:cs="Tahoma"/>
      <w:sz w:val="16"/>
      <w:szCs w:val="16"/>
    </w:rPr>
  </w:style>
  <w:style w:type="character" w:styleId="a5">
    <w:name w:val="FollowedHyperlink"/>
    <w:rsid w:val="00DA1F41"/>
    <w:rPr>
      <w:color w:val="800080"/>
      <w:u w:val="single"/>
    </w:rPr>
  </w:style>
  <w:style w:type="paragraph" w:styleId="a6">
    <w:name w:val="List Paragraph"/>
    <w:basedOn w:val="a"/>
    <w:uiPriority w:val="34"/>
    <w:qFormat/>
    <w:rsid w:val="002B0BE5"/>
    <w:pPr>
      <w:ind w:left="720"/>
    </w:pPr>
  </w:style>
  <w:style w:type="character" w:styleId="a7">
    <w:name w:val="Unresolved Mention"/>
    <w:basedOn w:val="a0"/>
    <w:uiPriority w:val="99"/>
    <w:semiHidden/>
    <w:unhideWhenUsed/>
    <w:rsid w:val="00C57AE1"/>
    <w:rPr>
      <w:color w:val="605E5C"/>
      <w:shd w:val="clear" w:color="auto" w:fill="E1DFDD"/>
    </w:rPr>
  </w:style>
  <w:style w:type="character" w:customStyle="1" w:styleId="apple-converted-space">
    <w:name w:val="apple-converted-space"/>
    <w:basedOn w:val="a0"/>
    <w:rsid w:val="00AF4DD4"/>
  </w:style>
  <w:style w:type="character" w:styleId="a8">
    <w:name w:val="Strong"/>
    <w:basedOn w:val="a0"/>
    <w:uiPriority w:val="22"/>
    <w:qFormat/>
    <w:rsid w:val="00AF4DD4"/>
    <w:rPr>
      <w:b/>
      <w:bCs/>
    </w:rPr>
  </w:style>
  <w:style w:type="character" w:customStyle="1" w:styleId="mord">
    <w:name w:val="mord"/>
    <w:basedOn w:val="a0"/>
    <w:rsid w:val="00363E44"/>
  </w:style>
  <w:style w:type="character" w:customStyle="1" w:styleId="mrel">
    <w:name w:val="mrel"/>
    <w:basedOn w:val="a0"/>
    <w:rsid w:val="00363E44"/>
  </w:style>
  <w:style w:type="character" w:customStyle="1" w:styleId="mbin">
    <w:name w:val="mbin"/>
    <w:basedOn w:val="a0"/>
    <w:rsid w:val="00363E44"/>
  </w:style>
  <w:style w:type="paragraph" w:styleId="Web">
    <w:name w:val="Normal (Web)"/>
    <w:basedOn w:val="a"/>
    <w:uiPriority w:val="99"/>
    <w:semiHidden/>
    <w:unhideWhenUsed/>
    <w:rsid w:val="00130909"/>
    <w:pPr>
      <w:spacing w:before="100" w:beforeAutospacing="1" w:after="100" w:afterAutospacing="1"/>
    </w:pPr>
    <w:rPr>
      <w:rFonts w:ascii="新細明體" w:hAnsi="新細明體" w:cs="新細明體"/>
      <w:lang w:eastAsia="zh-TW"/>
    </w:rPr>
  </w:style>
  <w:style w:type="character" w:customStyle="1" w:styleId="30">
    <w:name w:val="標題 3 字元"/>
    <w:basedOn w:val="a0"/>
    <w:link w:val="3"/>
    <w:uiPriority w:val="9"/>
    <w:rsid w:val="00130909"/>
    <w:rPr>
      <w:rFonts w:ascii="新細明體" w:hAnsi="新細明體" w:cs="新細明體"/>
      <w:b/>
      <w:bCs/>
      <w:sz w:val="27"/>
      <w:szCs w:val="27"/>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search.stlouisfed.org/fred2/categories/82" TargetMode="External"/><Relationship Id="rId5" Type="http://schemas.openxmlformats.org/officeDocument/2006/relationships/hyperlink" Target="https://www.philadelphiafed.org/surveys-and-data/real-time-data-research/survey-of-professional-forecast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843</TotalTime>
  <Pages>4</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Questions for class discussion of Airbus A3XX case study</vt:lpstr>
    </vt:vector>
  </TitlesOfParts>
  <Company>Rady School</Company>
  <LinksUpToDate>false</LinksUpToDate>
  <CharactersWithSpaces>7649</CharactersWithSpaces>
  <SharedDoc>false</SharedDoc>
  <HLinks>
    <vt:vector size="24" baseType="variant">
      <vt:variant>
        <vt:i4>1769543</vt:i4>
      </vt:variant>
      <vt:variant>
        <vt:i4>9</vt:i4>
      </vt:variant>
      <vt:variant>
        <vt:i4>0</vt:i4>
      </vt:variant>
      <vt:variant>
        <vt:i4>5</vt:i4>
      </vt:variant>
      <vt:variant>
        <vt:lpwstr>http://www.pimco.com/EN/Insights/Pages/Cult-Figures.aspx</vt:lpwstr>
      </vt:variant>
      <vt:variant>
        <vt:lpwstr/>
      </vt:variant>
      <vt:variant>
        <vt:i4>1769543</vt:i4>
      </vt:variant>
      <vt:variant>
        <vt:i4>6</vt:i4>
      </vt:variant>
      <vt:variant>
        <vt:i4>0</vt:i4>
      </vt:variant>
      <vt:variant>
        <vt:i4>5</vt:i4>
      </vt:variant>
      <vt:variant>
        <vt:lpwstr>http://www.pimco.com/EN/Insights/Pages/Cult-Figures.aspx</vt:lpwstr>
      </vt:variant>
      <vt:variant>
        <vt:lpwstr/>
      </vt:variant>
      <vt:variant>
        <vt:i4>3473516</vt:i4>
      </vt:variant>
      <vt:variant>
        <vt:i4>3</vt:i4>
      </vt:variant>
      <vt:variant>
        <vt:i4>0</vt:i4>
      </vt:variant>
      <vt:variant>
        <vt:i4>5</vt:i4>
      </vt:variant>
      <vt:variant>
        <vt:lpwstr>http://research.stlouisfed.org/fred2/categories/82</vt:lpwstr>
      </vt:variant>
      <vt:variant>
        <vt:lpwstr/>
      </vt:variant>
      <vt:variant>
        <vt:i4>7667827</vt:i4>
      </vt:variant>
      <vt:variant>
        <vt:i4>0</vt:i4>
      </vt:variant>
      <vt:variant>
        <vt:i4>0</vt:i4>
      </vt:variant>
      <vt:variant>
        <vt:i4>5</vt:i4>
      </vt:variant>
      <vt:variant>
        <vt:lpwstr>http://www.phil.frb.org/econ/spf/index.html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for class discussion of Airbus A3XX case study</dc:title>
  <dc:creator>Allan Timmermann</dc:creator>
  <cp:lastModifiedBy>Hsu, Po-Yu</cp:lastModifiedBy>
  <cp:revision>24</cp:revision>
  <cp:lastPrinted>2016-09-20T15:06:00Z</cp:lastPrinted>
  <dcterms:created xsi:type="dcterms:W3CDTF">2025-09-08T01:25:00Z</dcterms:created>
  <dcterms:modified xsi:type="dcterms:W3CDTF">2025-10-03T01:35:00Z</dcterms:modified>
</cp:coreProperties>
</file>