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39a7ab92053ab1fde215e0a3cc85e6596d35c69"/>
    <w:p>
      <w:pPr>
        <w:pStyle w:val="Heading1"/>
      </w:pPr>
      <w:r>
        <w:t xml:space="preserve">Foxtail millet GWAS: fresh presentation summary</w:t>
      </w:r>
    </w:p>
    <w:bookmarkStart w:id="9" w:name="headline"/>
    <w:p>
      <w:pPr>
        <w:pStyle w:val="Heading2"/>
      </w:pPr>
      <w:r>
        <w:t xml:space="preserve">Headline</w:t>
      </w:r>
    </w:p>
    <w:p>
      <w:pPr>
        <w:pStyle w:val="FirstParagraph"/>
      </w:pPr>
      <w:r>
        <w:t xml:space="preserve">Using 177 accessions and 848,687 chromosome-anchored SNPs after 10% individual and SNP missingness filtering, 181 Bonferroni-significant association records representing 160 unique SNPs were detected. The preferred trait-specific MAF ≥0.05 subset contained 105 records representing 95 unique SNPs.</w:t>
      </w:r>
    </w:p>
    <w:bookmarkEnd w:id="9"/>
    <w:bookmarkStart w:id="10" w:name="study-and-qc"/>
    <w:p>
      <w:pPr>
        <w:pStyle w:val="Heading2"/>
      </w:pPr>
      <w:r>
        <w:t xml:space="preserve">Study and QC</w:t>
      </w:r>
    </w:p>
    <w:p>
      <w:pPr>
        <w:pStyle w:val="Compact"/>
        <w:numPr>
          <w:ilvl w:val="0"/>
          <w:numId w:val="1001"/>
        </w:numPr>
      </w:pPr>
      <w:r>
        <w:t xml:space="preserve">Environments: 2023, 2024 N40 and 2024 N120.</w:t>
      </w:r>
    </w:p>
    <w:p>
      <w:pPr>
        <w:pStyle w:val="Compact"/>
        <w:numPr>
          <w:ilvl w:val="0"/>
          <w:numId w:val="1001"/>
        </w:numPr>
      </w:pPr>
      <w:r>
        <w:t xml:space="preserve">N40 and N120 were analysed independently, not as a randomized treatment contrast.</w:t>
      </w:r>
    </w:p>
    <w:p>
      <w:pPr>
        <w:pStyle w:val="Compact"/>
        <w:numPr>
          <w:ilvl w:val="0"/>
          <w:numId w:val="1001"/>
        </w:numPr>
      </w:pPr>
      <w:r>
        <w:t xml:space="preserve">Eight traits per environment and three GWAS models produced 72 analyses.</w:t>
      </w:r>
    </w:p>
    <w:p>
      <w:pPr>
        <w:pStyle w:val="Compact"/>
        <w:numPr>
          <w:ilvl w:val="0"/>
          <w:numId w:val="1001"/>
        </w:numPr>
      </w:pPr>
      <w:r>
        <w:t xml:space="preserve">Genotype filters: chromosomes 1–9 only, biallelic SNPs, global MAF ≥0.05, individual missingness ≤0.10, and SNP missingness ≤0.10.</w:t>
      </w:r>
    </w:p>
    <w:p>
      <w:pPr>
        <w:pStyle w:val="Compact"/>
        <w:numPr>
          <w:ilvl w:val="0"/>
          <w:numId w:val="1001"/>
        </w:numPr>
      </w:pPr>
      <w:r>
        <w:t xml:space="preserve">Final genotype dataset: 177 individuals and 848,687 SNPs.</w:t>
      </w:r>
    </w:p>
    <w:p>
      <w:pPr>
        <w:pStyle w:val="Compact"/>
        <w:numPr>
          <w:ilvl w:val="0"/>
          <w:numId w:val="1001"/>
        </w:numPr>
      </w:pPr>
      <w:r>
        <w:t xml:space="preserve">Trait-specific GWAS sample sizes: 57–129.</w:t>
      </w:r>
    </w:p>
    <w:p>
      <w:pPr>
        <w:pStyle w:val="Compact"/>
        <w:numPr>
          <w:ilvl w:val="0"/>
          <w:numId w:val="1001"/>
        </w:numPr>
      </w:pPr>
      <w:r>
        <w:t xml:space="preserve">Bonferroni threshold: (P \leq 5.89145\times10^{-8}), or (-\log_{10}(P)\geq7.230).</w:t>
      </w:r>
    </w:p>
    <w:p>
      <w:pPr>
        <w:pStyle w:val="Compact"/>
        <w:numPr>
          <w:ilvl w:val="0"/>
          <w:numId w:val="1001"/>
        </w:numPr>
      </w:pPr>
      <w:r>
        <w:t xml:space="preserve">A deterministic model-specific seed derived from 20260908 was used.</w:t>
      </w:r>
    </w:p>
    <w:bookmarkEnd w:id="10"/>
    <w:bookmarkStart w:id="11" w:name="overall-results"/>
    <w:p>
      <w:pPr>
        <w:pStyle w:val="Heading2"/>
      </w:pPr>
      <w:r>
        <w:t xml:space="preserve">Overall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jc w:val="right"/>
            </w:pPr>
            <w:r>
              <w:t xml:space="preserve">Count</w:t>
            </w:r>
          </w:p>
        </w:tc>
      </w:tr>
      <w:tr>
        <w:tc>
          <w:tcPr/>
          <w:p>
            <w:pPr>
              <w:pStyle w:val="Compact"/>
            </w:pPr>
            <w:r>
              <w:t xml:space="preserve">Significant association records</w:t>
            </w:r>
          </w:p>
        </w:tc>
        <w:tc>
          <w:tcPr/>
          <w:p>
            <w:pPr>
              <w:pStyle w:val="Compact"/>
              <w:jc w:val="right"/>
            </w:pPr>
            <w:r>
              <w:t xml:space="preserve">181</w:t>
            </w:r>
          </w:p>
        </w:tc>
      </w:tr>
      <w:tr>
        <w:tc>
          <w:tcPr/>
          <w:p>
            <w:pPr>
              <w:pStyle w:val="Compact"/>
            </w:pPr>
            <w:r>
              <w:t xml:space="preserve">Unique significant SNPs</w:t>
            </w:r>
          </w:p>
        </w:tc>
        <w:tc>
          <w:tcPr/>
          <w:p>
            <w:pPr>
              <w:pStyle w:val="Compact"/>
              <w:jc w:val="right"/>
            </w:pPr>
            <w:r>
              <w:t xml:space="preserve">160</w:t>
            </w:r>
          </w:p>
        </w:tc>
      </w:tr>
      <w:tr>
        <w:tc>
          <w:tcPr/>
          <w:p>
            <w:pPr>
              <w:pStyle w:val="Compact"/>
            </w:pPr>
            <w:r>
              <w:t xml:space="preserve">Trait-MAF-supported records</w:t>
            </w:r>
          </w:p>
        </w:tc>
        <w:tc>
          <w:tcPr/>
          <w:p>
            <w:pPr>
              <w:pStyle w:val="Compact"/>
              <w:jc w:val="right"/>
            </w:pPr>
            <w:r>
              <w:t xml:space="preserve">105</w:t>
            </w:r>
          </w:p>
        </w:tc>
      </w:tr>
      <w:tr>
        <w:tc>
          <w:tcPr/>
          <w:p>
            <w:pPr>
              <w:pStyle w:val="Compact"/>
            </w:pPr>
            <w:r>
              <w:t xml:space="preserve">Trait-MAF-supported unique SNPs</w:t>
            </w:r>
          </w:p>
        </w:tc>
        <w:tc>
          <w:tcPr/>
          <w:p>
            <w:pPr>
              <w:pStyle w:val="Compact"/>
              <w:jc w:val="right"/>
            </w:pPr>
            <w:r>
              <w:t xml:space="preserve">95</w:t>
            </w:r>
          </w:p>
        </w:tc>
      </w:tr>
      <w:tr>
        <w:tc>
          <w:tcPr/>
          <w:p>
            <w:pPr>
              <w:pStyle w:val="Compact"/>
            </w:pPr>
            <w:r>
              <w:t xml:space="preserve">Recurrent MAF-supported SNPs</w:t>
            </w:r>
          </w:p>
        </w:tc>
        <w:tc>
          <w:tcPr/>
          <w:p>
            <w:pPr>
              <w:pStyle w:val="Compact"/>
              <w:jc w:val="right"/>
            </w:pPr>
            <w:r>
              <w:t xml:space="preserve">7</w:t>
            </w:r>
          </w:p>
        </w:tc>
      </w:tr>
    </w:tbl>
    <w:p>
      <w:pPr>
        <w:pStyle w:val="BodyText"/>
      </w:pPr>
      <w:r>
        <w:t xml:space="preserve">Association records count a SNP again when it occurs in another model, trait or environment. Emphasize the 95 MAF-supported unique SNPs and recurrent loci rather than treating all 181 records as independent discoveries.</w:t>
      </w:r>
    </w:p>
    <w:bookmarkEnd w:id="11"/>
    <w:bookmarkStart w:id="12" w:name="results-by-environment"/>
    <w:p>
      <w:pPr>
        <w:pStyle w:val="Heading2"/>
      </w:pPr>
      <w:r>
        <w:t xml:space="preserve">Results by environment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Environment</w:t>
            </w:r>
          </w:p>
        </w:tc>
        <w:tc>
          <w:tcPr/>
          <w:p>
            <w:pPr>
              <w:pStyle w:val="Compact"/>
              <w:jc w:val="right"/>
            </w:pPr>
            <w:r>
              <w:t xml:space="preserve">Records</w:t>
            </w:r>
          </w:p>
        </w:tc>
        <w:tc>
          <w:tcPr/>
          <w:p>
            <w:pPr>
              <w:pStyle w:val="Compact"/>
              <w:jc w:val="right"/>
            </w:pPr>
            <w:r>
              <w:t xml:space="preserve">Unique SNPs</w:t>
            </w:r>
          </w:p>
        </w:tc>
        <w:tc>
          <w:tcPr/>
          <w:p>
            <w:pPr>
              <w:pStyle w:val="Compact"/>
              <w:jc w:val="right"/>
            </w:pPr>
            <w:r>
              <w:t xml:space="preserve">MAF-supported records</w:t>
            </w:r>
          </w:p>
        </w:tc>
        <w:tc>
          <w:tcPr/>
          <w:p>
            <w:pPr>
              <w:pStyle w:val="Compact"/>
              <w:jc w:val="right"/>
            </w:pPr>
            <w:r>
              <w:t xml:space="preserve">MAF-supported SNPs</w:t>
            </w:r>
          </w:p>
        </w:tc>
      </w:tr>
      <w:tr>
        <w:tc>
          <w:tcPr/>
          <w:p>
            <w:pPr>
              <w:pStyle w:val="Compact"/>
            </w:pPr>
            <w:r>
              <w:t xml:space="preserve">2023</w:t>
            </w:r>
          </w:p>
        </w:tc>
        <w:tc>
          <w:tcPr/>
          <w:p>
            <w:pPr>
              <w:pStyle w:val="Compact"/>
              <w:jc w:val="right"/>
            </w:pPr>
            <w:r>
              <w:t xml:space="preserve">46</w:t>
            </w:r>
          </w:p>
        </w:tc>
        <w:tc>
          <w:tcPr/>
          <w:p>
            <w:pPr>
              <w:pStyle w:val="Compact"/>
              <w:jc w:val="right"/>
            </w:pPr>
            <w:r>
              <w:t xml:space="preserve">45</w:t>
            </w:r>
          </w:p>
        </w:tc>
        <w:tc>
          <w:tcPr/>
          <w:p>
            <w:pPr>
              <w:pStyle w:val="Compact"/>
              <w:jc w:val="right"/>
            </w:pPr>
            <w:r>
              <w:t xml:space="preserve">34</w:t>
            </w:r>
          </w:p>
        </w:tc>
        <w:tc>
          <w:tcPr/>
          <w:p>
            <w:pPr>
              <w:pStyle w:val="Compact"/>
              <w:jc w:val="right"/>
            </w:pPr>
            <w:r>
              <w:t xml:space="preserve">33</w:t>
            </w:r>
          </w:p>
        </w:tc>
      </w:tr>
      <w:tr>
        <w:tc>
          <w:tcPr/>
          <w:p>
            <w:pPr>
              <w:pStyle w:val="Compact"/>
            </w:pPr>
            <w:r>
              <w:t xml:space="preserve">N40</w:t>
            </w:r>
          </w:p>
        </w:tc>
        <w:tc>
          <w:tcPr/>
          <w:p>
            <w:pPr>
              <w:pStyle w:val="Compact"/>
              <w:jc w:val="right"/>
            </w:pPr>
            <w:r>
              <w:t xml:space="preserve">64</w:t>
            </w:r>
          </w:p>
        </w:tc>
        <w:tc>
          <w:tcPr/>
          <w:p>
            <w:pPr>
              <w:pStyle w:val="Compact"/>
              <w:jc w:val="right"/>
            </w:pPr>
            <w:r>
              <w:t xml:space="preserve">58</w:t>
            </w:r>
          </w:p>
        </w:tc>
        <w:tc>
          <w:tcPr/>
          <w:p>
            <w:pPr>
              <w:pStyle w:val="Compact"/>
              <w:jc w:val="right"/>
            </w:pPr>
            <w:r>
              <w:t xml:space="preserve">36</w:t>
            </w:r>
          </w:p>
        </w:tc>
        <w:tc>
          <w:tcPr/>
          <w:p>
            <w:pPr>
              <w:pStyle w:val="Compact"/>
              <w:jc w:val="right"/>
            </w:pPr>
            <w:r>
              <w:t xml:space="preserve">32</w:t>
            </w:r>
          </w:p>
        </w:tc>
      </w:tr>
      <w:tr>
        <w:tc>
          <w:tcPr/>
          <w:p>
            <w:pPr>
              <w:pStyle w:val="Compact"/>
            </w:pPr>
            <w:r>
              <w:t xml:space="preserve">N120</w:t>
            </w:r>
          </w:p>
        </w:tc>
        <w:tc>
          <w:tcPr/>
          <w:p>
            <w:pPr>
              <w:pStyle w:val="Compact"/>
              <w:jc w:val="right"/>
            </w:pPr>
            <w:r>
              <w:t xml:space="preserve">71</w:t>
            </w:r>
          </w:p>
        </w:tc>
        <w:tc>
          <w:tcPr/>
          <w:p>
            <w:pPr>
              <w:pStyle w:val="Compact"/>
              <w:jc w:val="right"/>
            </w:pPr>
            <w:r>
              <w:t xml:space="preserve">61</w:t>
            </w:r>
          </w:p>
        </w:tc>
        <w:tc>
          <w:tcPr/>
          <w:p>
            <w:pPr>
              <w:pStyle w:val="Compact"/>
              <w:jc w:val="right"/>
            </w:pPr>
            <w:r>
              <w:t xml:space="preserve">35</w:t>
            </w:r>
          </w:p>
        </w:tc>
        <w:tc>
          <w:tcPr/>
          <w:p>
            <w:pPr>
              <w:pStyle w:val="Compact"/>
              <w:jc w:val="right"/>
            </w:pPr>
            <w:r>
              <w:t xml:space="preserve">32</w:t>
            </w:r>
          </w:p>
        </w:tc>
      </w:tr>
    </w:tbl>
    <w:p>
      <w:pPr>
        <w:pStyle w:val="BodyText"/>
      </w:pPr>
      <w:r>
        <w:t xml:space="preserve">N120 had the largest total record count, but N40 and N120 each retained 32 unique SNPs after the trait-specific MAF screen. Raw hit counts are influenced by sample size, allele frequency, phenotype distribution and model behaviour.</w:t>
      </w:r>
    </w:p>
    <w:bookmarkEnd w:id="12"/>
    <w:bookmarkStart w:id="13" w:name="complete-per-trait-summary-2023"/>
    <w:p>
      <w:pPr>
        <w:pStyle w:val="Heading2"/>
      </w:pPr>
      <w:r>
        <w:t xml:space="preserve">Complete per-trait summary: 2023</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Trait</w:t>
            </w:r>
          </w:p>
        </w:tc>
        <w:tc>
          <w:tcPr/>
          <w:p>
            <w:pPr>
              <w:pStyle w:val="Compact"/>
              <w:jc w:val="right"/>
            </w:pPr>
            <w:r>
              <w:t xml:space="preserve">n</w:t>
            </w:r>
          </w:p>
        </w:tc>
        <w:tc>
          <w:tcPr/>
          <w:p>
            <w:pPr>
              <w:pStyle w:val="Compact"/>
              <w:jc w:val="right"/>
            </w:pPr>
            <w:r>
              <w:t xml:space="preserve">Records</w:t>
            </w:r>
          </w:p>
        </w:tc>
        <w:tc>
          <w:tcPr/>
          <w:p>
            <w:pPr>
              <w:pStyle w:val="Compact"/>
              <w:jc w:val="right"/>
            </w:pPr>
            <w:r>
              <w:t xml:space="preserve">Unique SNPs</w:t>
            </w:r>
          </w:p>
        </w:tc>
        <w:tc>
          <w:tcPr/>
          <w:p>
            <w:pPr>
              <w:pStyle w:val="Compact"/>
              <w:jc w:val="right"/>
            </w:pPr>
            <w:r>
              <w:t xml:space="preserve">MAF-supported records</w:t>
            </w:r>
          </w:p>
        </w:tc>
        <w:tc>
          <w:tcPr/>
          <w:p>
            <w:pPr>
              <w:pStyle w:val="Compact"/>
              <w:jc w:val="right"/>
            </w:pPr>
            <w:r>
              <w:t xml:space="preserve">MAF-supported SNPs</w:t>
            </w:r>
          </w:p>
        </w:tc>
        <w:tc>
          <w:tcPr/>
          <w:p>
            <w:pPr>
              <w:pStyle w:val="Compact"/>
            </w:pPr>
            <w:r>
              <w:t xml:space="preserve">Strongest supported SNP</w:t>
            </w:r>
          </w:p>
        </w:tc>
      </w:tr>
      <w:tr>
        <w:tc>
          <w:tcPr/>
          <w:p>
            <w:pPr>
              <w:pStyle w:val="Compact"/>
            </w:pPr>
            <w:r>
              <w:t xml:space="preserve">Days to flowering</w:t>
            </w:r>
          </w:p>
        </w:tc>
        <w:tc>
          <w:tcPr/>
          <w:p>
            <w:pPr>
              <w:pStyle w:val="Compact"/>
              <w:jc w:val="right"/>
            </w:pPr>
            <w:r>
              <w:t xml:space="preserve">125</w:t>
            </w:r>
          </w:p>
        </w:tc>
        <w:tc>
          <w:tcPr/>
          <w:p>
            <w:pPr>
              <w:pStyle w:val="Compact"/>
              <w:jc w:val="right"/>
            </w:pPr>
            <w:r>
              <w:t xml:space="preserve">14</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12</w:t>
            </w:r>
          </w:p>
        </w:tc>
        <w:tc>
          <w:tcPr/>
          <w:p>
            <w:pPr>
              <w:pStyle w:val="Compact"/>
            </w:pPr>
            <w:r>
              <w:t xml:space="preserve">S7:17,136,277; P=2.66×10−23</w:t>
            </w:r>
          </w:p>
        </w:tc>
      </w:tr>
      <w:tr>
        <w:tc>
          <w:tcPr/>
          <w:p>
            <w:pPr>
              <w:pStyle w:val="Compact"/>
            </w:pPr>
            <w:r>
              <w:t xml:space="preserve">Plant height</w:t>
            </w:r>
          </w:p>
        </w:tc>
        <w:tc>
          <w:tcPr/>
          <w:p>
            <w:pPr>
              <w:pStyle w:val="Compact"/>
              <w:jc w:val="right"/>
            </w:pPr>
            <w:r>
              <w:t xml:space="preserve">129</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S1:38,761,213; P=2.97×10−12</w:t>
            </w:r>
          </w:p>
        </w:tc>
      </w:tr>
      <w:tr>
        <w:tc>
          <w:tcPr/>
          <w:p>
            <w:pPr>
              <w:pStyle w:val="Compact"/>
            </w:pPr>
            <w:r>
              <w:t xml:space="preserve">Plant density</w:t>
            </w:r>
          </w:p>
        </w:tc>
        <w:tc>
          <w:tcPr/>
          <w:p>
            <w:pPr>
              <w:pStyle w:val="Compact"/>
              <w:jc w:val="right"/>
            </w:pPr>
            <w:r>
              <w:t xml:space="preserve">129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None</w:t>
            </w:r>
          </w:p>
        </w:tc>
      </w:tr>
      <w:tr>
        <w:tc>
          <w:tcPr/>
          <w:p>
            <w:pPr>
              <w:pStyle w:val="Compact"/>
            </w:pPr>
            <w:r>
              <w:t xml:space="preserve">Thousand-seed weight</w:t>
            </w:r>
          </w:p>
        </w:tc>
        <w:tc>
          <w:tcPr/>
          <w:p>
            <w:pPr>
              <w:pStyle w:val="Compact"/>
              <w:jc w:val="right"/>
            </w:pPr>
            <w:r>
              <w:t xml:space="preserve">86</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pPr>
            <w:r>
              <w:t xml:space="preserve">S1:33,452,294; P=4.63×10−11</w:t>
            </w:r>
          </w:p>
        </w:tc>
      </w:tr>
      <w:tr>
        <w:tc>
          <w:tcPr/>
          <w:p>
            <w:pPr>
              <w:pStyle w:val="Compact"/>
            </w:pPr>
            <w:r>
              <w:t xml:space="preserve">Seed protein</w:t>
            </w:r>
          </w:p>
        </w:tc>
        <w:tc>
          <w:tcPr/>
          <w:p>
            <w:pPr>
              <w:pStyle w:val="Compact"/>
              <w:jc w:val="right"/>
            </w:pPr>
            <w:r>
              <w:t xml:space="preserve">70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None</w:t>
            </w:r>
          </w:p>
        </w:tc>
      </w:tr>
      <w:tr>
        <w:tc>
          <w:tcPr/>
          <w:p>
            <w:pPr>
              <w:pStyle w:val="Compact"/>
            </w:pPr>
            <w:r>
              <w:t xml:space="preserve">Seed fat</w:t>
            </w:r>
          </w:p>
        </w:tc>
        <w:tc>
          <w:tcPr/>
          <w:p>
            <w:pPr>
              <w:pStyle w:val="Compact"/>
              <w:jc w:val="right"/>
            </w:pPr>
            <w:r>
              <w:t xml:space="preserve">65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None</w:t>
            </w:r>
          </w:p>
        </w:tc>
      </w:tr>
      <w:tr>
        <w:tc>
          <w:tcPr/>
          <w:p>
            <w:pPr>
              <w:pStyle w:val="Compact"/>
            </w:pPr>
            <w:r>
              <w:t xml:space="preserve">Panicle length</w:t>
            </w:r>
          </w:p>
        </w:tc>
        <w:tc>
          <w:tcPr/>
          <w:p>
            <w:pPr>
              <w:pStyle w:val="Compact"/>
              <w:jc w:val="right"/>
            </w:pPr>
            <w:r>
              <w:t xml:space="preserve">93</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11</w:t>
            </w:r>
          </w:p>
        </w:tc>
        <w:tc>
          <w:tcPr/>
          <w:p>
            <w:pPr>
              <w:pStyle w:val="Compact"/>
            </w:pPr>
            <w:r>
              <w:t xml:space="preserve">S3:47,440,311; P=3.90×10−15</w:t>
            </w:r>
          </w:p>
        </w:tc>
      </w:tr>
      <w:tr>
        <w:tc>
          <w:tcPr/>
          <w:p>
            <w:pPr>
              <w:pStyle w:val="Compact"/>
            </w:pPr>
            <w:r>
              <w:t xml:space="preserve">Pedicel length</w:t>
            </w:r>
          </w:p>
        </w:tc>
        <w:tc>
          <w:tcPr/>
          <w:p>
            <w:pPr>
              <w:pStyle w:val="Compact"/>
              <w:jc w:val="right"/>
            </w:pPr>
            <w:r>
              <w:t xml:space="preserve">93</w:t>
            </w:r>
          </w:p>
        </w:tc>
        <w:tc>
          <w:tcPr/>
          <w:p>
            <w:pPr>
              <w:pStyle w:val="Compact"/>
              <w:jc w:val="right"/>
            </w:pPr>
            <w:r>
              <w:t xml:space="preserve">17</w:t>
            </w:r>
          </w:p>
        </w:tc>
        <w:tc>
          <w:tcPr/>
          <w:p>
            <w:pPr>
              <w:pStyle w:val="Compact"/>
              <w:jc w:val="right"/>
            </w:pPr>
            <w:r>
              <w:t xml:space="preserve">17</w:t>
            </w:r>
          </w:p>
        </w:tc>
        <w:tc>
          <w:tcPr/>
          <w:p>
            <w:pPr>
              <w:pStyle w:val="Compact"/>
              <w:jc w:val="right"/>
            </w:pPr>
            <w:r>
              <w:t xml:space="preserve">7</w:t>
            </w:r>
          </w:p>
        </w:tc>
        <w:tc>
          <w:tcPr/>
          <w:p>
            <w:pPr>
              <w:pStyle w:val="Compact"/>
              <w:jc w:val="right"/>
            </w:pPr>
            <w:r>
              <w:t xml:space="preserve">7</w:t>
            </w:r>
          </w:p>
        </w:tc>
        <w:tc>
          <w:tcPr/>
          <w:p>
            <w:pPr>
              <w:pStyle w:val="Compact"/>
            </w:pPr>
            <w:r>
              <w:t xml:space="preserve">S8:10,301,084; P=9.14×10−12</w:t>
            </w:r>
          </w:p>
        </w:tc>
      </w:tr>
    </w:tbl>
    <w:bookmarkEnd w:id="13"/>
    <w:bookmarkStart w:id="14" w:name="complete-per-trait-summary-n40"/>
    <w:p>
      <w:pPr>
        <w:pStyle w:val="Heading2"/>
      </w:pPr>
      <w:r>
        <w:t xml:space="preserve">Complete per-trait summary: N40</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Trait</w:t>
            </w:r>
          </w:p>
        </w:tc>
        <w:tc>
          <w:tcPr/>
          <w:p>
            <w:pPr>
              <w:pStyle w:val="Compact"/>
              <w:jc w:val="right"/>
            </w:pPr>
            <w:r>
              <w:t xml:space="preserve">n</w:t>
            </w:r>
          </w:p>
        </w:tc>
        <w:tc>
          <w:tcPr/>
          <w:p>
            <w:pPr>
              <w:pStyle w:val="Compact"/>
              <w:jc w:val="right"/>
            </w:pPr>
            <w:r>
              <w:t xml:space="preserve">Records</w:t>
            </w:r>
          </w:p>
        </w:tc>
        <w:tc>
          <w:tcPr/>
          <w:p>
            <w:pPr>
              <w:pStyle w:val="Compact"/>
              <w:jc w:val="right"/>
            </w:pPr>
            <w:r>
              <w:t xml:space="preserve">Unique SNPs</w:t>
            </w:r>
          </w:p>
        </w:tc>
        <w:tc>
          <w:tcPr/>
          <w:p>
            <w:pPr>
              <w:pStyle w:val="Compact"/>
              <w:jc w:val="right"/>
            </w:pPr>
            <w:r>
              <w:t xml:space="preserve">MAF-supported records</w:t>
            </w:r>
          </w:p>
        </w:tc>
        <w:tc>
          <w:tcPr/>
          <w:p>
            <w:pPr>
              <w:pStyle w:val="Compact"/>
              <w:jc w:val="right"/>
            </w:pPr>
            <w:r>
              <w:t xml:space="preserve">MAF-supported SNPs</w:t>
            </w:r>
          </w:p>
        </w:tc>
        <w:tc>
          <w:tcPr/>
          <w:p>
            <w:pPr>
              <w:pStyle w:val="Compact"/>
            </w:pPr>
            <w:r>
              <w:t xml:space="preserve">Strongest supported SNP</w:t>
            </w:r>
          </w:p>
        </w:tc>
      </w:tr>
      <w:tr>
        <w:tc>
          <w:tcPr/>
          <w:p>
            <w:pPr>
              <w:pStyle w:val="Compact"/>
            </w:pPr>
            <w:r>
              <w:t xml:space="preserve">Days to flowering</w:t>
            </w:r>
          </w:p>
        </w:tc>
        <w:tc>
          <w:tcPr/>
          <w:p>
            <w:pPr>
              <w:pStyle w:val="Compact"/>
              <w:jc w:val="right"/>
            </w:pPr>
            <w:r>
              <w:t xml:space="preserve">80</w:t>
            </w:r>
          </w:p>
        </w:tc>
        <w:tc>
          <w:tcPr/>
          <w:p>
            <w:pPr>
              <w:pStyle w:val="Compact"/>
              <w:jc w:val="right"/>
            </w:pPr>
            <w:r>
              <w:t xml:space="preserve">17</w:t>
            </w:r>
          </w:p>
        </w:tc>
        <w:tc>
          <w:tcPr/>
          <w:p>
            <w:pPr>
              <w:pStyle w:val="Compact"/>
              <w:jc w:val="right"/>
            </w:pPr>
            <w:r>
              <w:t xml:space="preserve">14</w:t>
            </w:r>
          </w:p>
        </w:tc>
        <w:tc>
          <w:tcPr/>
          <w:p>
            <w:pPr>
              <w:pStyle w:val="Compact"/>
              <w:jc w:val="right"/>
            </w:pPr>
            <w:r>
              <w:t xml:space="preserve">13</w:t>
            </w:r>
          </w:p>
        </w:tc>
        <w:tc>
          <w:tcPr/>
          <w:p>
            <w:pPr>
              <w:pStyle w:val="Compact"/>
              <w:jc w:val="right"/>
            </w:pPr>
            <w:r>
              <w:t xml:space="preserve">11</w:t>
            </w:r>
          </w:p>
        </w:tc>
        <w:tc>
          <w:tcPr/>
          <w:p>
            <w:pPr>
              <w:pStyle w:val="Compact"/>
            </w:pPr>
            <w:r>
              <w:t xml:space="preserve">S2:30,514,256; P=7.22×10−20</w:t>
            </w:r>
          </w:p>
        </w:tc>
      </w:tr>
      <w:tr>
        <w:tc>
          <w:tcPr/>
          <w:p>
            <w:pPr>
              <w:pStyle w:val="Compact"/>
            </w:pPr>
            <w:r>
              <w:t xml:space="preserve">Plant height</w:t>
            </w:r>
          </w:p>
        </w:tc>
        <w:tc>
          <w:tcPr/>
          <w:p>
            <w:pPr>
              <w:pStyle w:val="Compact"/>
              <w:jc w:val="right"/>
            </w:pPr>
            <w:r>
              <w:t xml:space="preserve">81</w:t>
            </w:r>
          </w:p>
        </w:tc>
        <w:tc>
          <w:tcPr/>
          <w:p>
            <w:pPr>
              <w:pStyle w:val="Compact"/>
              <w:jc w:val="right"/>
            </w:pPr>
            <w:r>
              <w:t xml:space="preserve">7</w:t>
            </w:r>
          </w:p>
        </w:tc>
        <w:tc>
          <w:tcPr/>
          <w:p>
            <w:pPr>
              <w:pStyle w:val="Compact"/>
              <w:jc w:val="right"/>
            </w:pPr>
            <w:r>
              <w:t xml:space="preserve">7</w:t>
            </w:r>
          </w:p>
        </w:tc>
        <w:tc>
          <w:tcPr/>
          <w:p>
            <w:pPr>
              <w:pStyle w:val="Compact"/>
              <w:jc w:val="right"/>
            </w:pPr>
            <w:r>
              <w:t xml:space="preserve">5</w:t>
            </w:r>
          </w:p>
        </w:tc>
        <w:tc>
          <w:tcPr/>
          <w:p>
            <w:pPr>
              <w:pStyle w:val="Compact"/>
              <w:jc w:val="right"/>
            </w:pPr>
            <w:r>
              <w:t xml:space="preserve">5</w:t>
            </w:r>
          </w:p>
        </w:tc>
        <w:tc>
          <w:tcPr/>
          <w:p>
            <w:pPr>
              <w:pStyle w:val="Compact"/>
            </w:pPr>
            <w:r>
              <w:t xml:space="preserve">S9:9,021,917; P=8.97×10−22</w:t>
            </w:r>
          </w:p>
        </w:tc>
      </w:tr>
      <w:tr>
        <w:tc>
          <w:tcPr/>
          <w:p>
            <w:pPr>
              <w:pStyle w:val="Compact"/>
            </w:pPr>
            <w:r>
              <w:t xml:space="preserve">Plant density</w:t>
            </w:r>
          </w:p>
        </w:tc>
        <w:tc>
          <w:tcPr/>
          <w:p>
            <w:pPr>
              <w:pStyle w:val="Compact"/>
              <w:jc w:val="right"/>
            </w:pPr>
            <w:r>
              <w:t xml:space="preserve">81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None</w:t>
            </w:r>
          </w:p>
        </w:tc>
      </w:tr>
      <w:tr>
        <w:tc>
          <w:tcPr/>
          <w:p>
            <w:pPr>
              <w:pStyle w:val="Compact"/>
            </w:pPr>
            <w:r>
              <w:t xml:space="preserve">Number of tillers</w:t>
            </w:r>
          </w:p>
        </w:tc>
        <w:tc>
          <w:tcPr/>
          <w:p>
            <w:pPr>
              <w:pStyle w:val="Compact"/>
              <w:jc w:val="right"/>
            </w:pPr>
            <w:r>
              <w:t xml:space="preserve">81</w:t>
            </w:r>
          </w:p>
        </w:tc>
        <w:tc>
          <w:tcPr/>
          <w:p>
            <w:pPr>
              <w:pStyle w:val="Compact"/>
              <w:jc w:val="right"/>
            </w:pPr>
            <w:r>
              <w:t xml:space="preserve">28</w:t>
            </w:r>
          </w:p>
        </w:tc>
        <w:tc>
          <w:tcPr/>
          <w:p>
            <w:pPr>
              <w:pStyle w:val="Compact"/>
              <w:jc w:val="right"/>
            </w:pPr>
            <w:r>
              <w:t xml:space="preserve">27</w:t>
            </w:r>
          </w:p>
        </w:tc>
        <w:tc>
          <w:tcPr/>
          <w:p>
            <w:pPr>
              <w:pStyle w:val="Compact"/>
              <w:jc w:val="right"/>
            </w:pPr>
            <w:r>
              <w:t xml:space="preserve">8</w:t>
            </w:r>
          </w:p>
        </w:tc>
        <w:tc>
          <w:tcPr/>
          <w:p>
            <w:pPr>
              <w:pStyle w:val="Compact"/>
              <w:jc w:val="right"/>
            </w:pPr>
            <w:r>
              <w:t xml:space="preserve">8</w:t>
            </w:r>
          </w:p>
        </w:tc>
        <w:tc>
          <w:tcPr/>
          <w:p>
            <w:pPr>
              <w:pStyle w:val="Compact"/>
            </w:pPr>
            <w:r>
              <w:t xml:space="preserve">S6:32,361,467; P=5.35×10−19</w:t>
            </w:r>
          </w:p>
        </w:tc>
      </w:tr>
      <w:tr>
        <w:tc>
          <w:tcPr/>
          <w:p>
            <w:pPr>
              <w:pStyle w:val="Compact"/>
            </w:pPr>
            <w:r>
              <w:t xml:space="preserve">Days to harvest</w:t>
            </w:r>
          </w:p>
        </w:tc>
        <w:tc>
          <w:tcPr/>
          <w:p>
            <w:pPr>
              <w:pStyle w:val="Compact"/>
              <w:jc w:val="right"/>
            </w:pPr>
            <w:r>
              <w:t xml:space="preserve">80</w:t>
            </w:r>
          </w:p>
        </w:tc>
        <w:tc>
          <w:tcPr/>
          <w:p>
            <w:pPr>
              <w:pStyle w:val="Compact"/>
              <w:jc w:val="right"/>
            </w:pPr>
            <w:r>
              <w:t xml:space="preserve">7</w:t>
            </w:r>
          </w:p>
        </w:tc>
        <w:tc>
          <w:tcPr/>
          <w:p>
            <w:pPr>
              <w:pStyle w:val="Compact"/>
              <w:jc w:val="right"/>
            </w:pPr>
            <w:r>
              <w:t xml:space="preserve">7</w:t>
            </w:r>
          </w:p>
        </w:tc>
        <w:tc>
          <w:tcPr/>
          <w:p>
            <w:pPr>
              <w:pStyle w:val="Compact"/>
              <w:jc w:val="right"/>
            </w:pPr>
            <w:r>
              <w:t xml:space="preserve">7</w:t>
            </w:r>
          </w:p>
        </w:tc>
        <w:tc>
          <w:tcPr/>
          <w:p>
            <w:pPr>
              <w:pStyle w:val="Compact"/>
              <w:jc w:val="right"/>
            </w:pPr>
            <w:r>
              <w:t xml:space="preserve">7</w:t>
            </w:r>
          </w:p>
        </w:tc>
        <w:tc>
          <w:tcPr/>
          <w:p>
            <w:pPr>
              <w:pStyle w:val="Compact"/>
            </w:pPr>
            <w:r>
              <w:t xml:space="preserve">S7:2,121,353; P=1.07×10−31</w:t>
            </w:r>
          </w:p>
        </w:tc>
      </w:tr>
      <w:tr>
        <w:tc>
          <w:tcPr/>
          <w:p>
            <w:pPr>
              <w:pStyle w:val="Compact"/>
            </w:pPr>
            <w:r>
              <w:t xml:space="preserve">NDVI</w:t>
            </w:r>
          </w:p>
        </w:tc>
        <w:tc>
          <w:tcPr/>
          <w:p>
            <w:pPr>
              <w:pStyle w:val="Compact"/>
              <w:jc w:val="right"/>
            </w:pPr>
            <w:r>
              <w:t xml:space="preserve">81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None</w:t>
            </w:r>
          </w:p>
        </w:tc>
      </w:tr>
      <w:tr>
        <w:tc>
          <w:tcPr/>
          <w:p>
            <w:pPr>
              <w:pStyle w:val="Compact"/>
            </w:pPr>
            <w:r>
              <w:t xml:space="preserve">Fluorescence</w:t>
            </w:r>
          </w:p>
        </w:tc>
        <w:tc>
          <w:tcPr/>
          <w:p>
            <w:pPr>
              <w:pStyle w:val="Compact"/>
              <w:jc w:val="right"/>
            </w:pPr>
            <w:r>
              <w:t xml:space="preserve">81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None</w:t>
            </w:r>
          </w:p>
        </w:tc>
      </w:tr>
      <w:tr>
        <w:tc>
          <w:tcPr/>
          <w:p>
            <w:pPr>
              <w:pStyle w:val="Compact"/>
            </w:pPr>
            <w:r>
              <w:t xml:space="preserve">Seed protein</w:t>
            </w:r>
          </w:p>
        </w:tc>
        <w:tc>
          <w:tcPr/>
          <w:p>
            <w:pPr>
              <w:pStyle w:val="Compact"/>
              <w:jc w:val="right"/>
            </w:pPr>
            <w:r>
              <w:t xml:space="preserve">57</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pPr>
            <w:r>
              <w:t xml:space="preserve">S4:15,902,894; P=5.38×10−16</w:t>
            </w:r>
          </w:p>
        </w:tc>
      </w:tr>
    </w:tbl>
    <w:bookmarkEnd w:id="14"/>
    <w:bookmarkStart w:id="15" w:name="complete-per-trait-summary-n120"/>
    <w:p>
      <w:pPr>
        <w:pStyle w:val="Heading2"/>
      </w:pPr>
      <w:r>
        <w:t xml:space="preserve">Complete per-trait summary: N120</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Trait</w:t>
            </w:r>
          </w:p>
        </w:tc>
        <w:tc>
          <w:tcPr/>
          <w:p>
            <w:pPr>
              <w:pStyle w:val="Compact"/>
              <w:jc w:val="right"/>
            </w:pPr>
            <w:r>
              <w:t xml:space="preserve">n</w:t>
            </w:r>
          </w:p>
        </w:tc>
        <w:tc>
          <w:tcPr/>
          <w:p>
            <w:pPr>
              <w:pStyle w:val="Compact"/>
              <w:jc w:val="right"/>
            </w:pPr>
            <w:r>
              <w:t xml:space="preserve">Records</w:t>
            </w:r>
          </w:p>
        </w:tc>
        <w:tc>
          <w:tcPr/>
          <w:p>
            <w:pPr>
              <w:pStyle w:val="Compact"/>
              <w:jc w:val="right"/>
            </w:pPr>
            <w:r>
              <w:t xml:space="preserve">Unique SNPs</w:t>
            </w:r>
          </w:p>
        </w:tc>
        <w:tc>
          <w:tcPr/>
          <w:p>
            <w:pPr>
              <w:pStyle w:val="Compact"/>
              <w:jc w:val="right"/>
            </w:pPr>
            <w:r>
              <w:t xml:space="preserve">MAF-supported records</w:t>
            </w:r>
          </w:p>
        </w:tc>
        <w:tc>
          <w:tcPr/>
          <w:p>
            <w:pPr>
              <w:pStyle w:val="Compact"/>
              <w:jc w:val="right"/>
            </w:pPr>
            <w:r>
              <w:t xml:space="preserve">MAF-supported SNPs</w:t>
            </w:r>
          </w:p>
        </w:tc>
        <w:tc>
          <w:tcPr/>
          <w:p>
            <w:pPr>
              <w:pStyle w:val="Compact"/>
            </w:pPr>
            <w:r>
              <w:t xml:space="preserve">Strongest supported SNP</w:t>
            </w:r>
          </w:p>
        </w:tc>
      </w:tr>
      <w:tr>
        <w:tc>
          <w:tcPr/>
          <w:p>
            <w:pPr>
              <w:pStyle w:val="Compact"/>
            </w:pPr>
            <w:r>
              <w:t xml:space="preserve">Days to flowering</w:t>
            </w:r>
          </w:p>
        </w:tc>
        <w:tc>
          <w:tcPr/>
          <w:p>
            <w:pPr>
              <w:pStyle w:val="Compact"/>
              <w:jc w:val="right"/>
            </w:pPr>
            <w:r>
              <w:t xml:space="preserve">80</w:t>
            </w:r>
          </w:p>
        </w:tc>
        <w:tc>
          <w:tcPr/>
          <w:p>
            <w:pPr>
              <w:pStyle w:val="Compact"/>
              <w:jc w:val="right"/>
            </w:pPr>
            <w:r>
              <w:t xml:space="preserve">11</w:t>
            </w:r>
          </w:p>
        </w:tc>
        <w:tc>
          <w:tcPr/>
          <w:p>
            <w:pPr>
              <w:pStyle w:val="Compact"/>
              <w:jc w:val="right"/>
            </w:pPr>
            <w:r>
              <w:t xml:space="preserve">9</w:t>
            </w:r>
          </w:p>
        </w:tc>
        <w:tc>
          <w:tcPr/>
          <w:p>
            <w:pPr>
              <w:pStyle w:val="Compact"/>
              <w:jc w:val="right"/>
            </w:pPr>
            <w:r>
              <w:t xml:space="preserve">10</w:t>
            </w:r>
          </w:p>
        </w:tc>
        <w:tc>
          <w:tcPr/>
          <w:p>
            <w:pPr>
              <w:pStyle w:val="Compact"/>
              <w:jc w:val="right"/>
            </w:pPr>
            <w:r>
              <w:t xml:space="preserve">8</w:t>
            </w:r>
          </w:p>
        </w:tc>
        <w:tc>
          <w:tcPr/>
          <w:p>
            <w:pPr>
              <w:pStyle w:val="Compact"/>
            </w:pPr>
            <w:r>
              <w:t xml:space="preserve">S8:3,818,991; P=1.02×10−20</w:t>
            </w:r>
          </w:p>
        </w:tc>
      </w:tr>
      <w:tr>
        <w:tc>
          <w:tcPr/>
          <w:p>
            <w:pPr>
              <w:pStyle w:val="Compact"/>
            </w:pPr>
            <w:r>
              <w:t xml:space="preserve">Plant height</w:t>
            </w:r>
          </w:p>
        </w:tc>
        <w:tc>
          <w:tcPr/>
          <w:p>
            <w:pPr>
              <w:pStyle w:val="Compact"/>
              <w:jc w:val="right"/>
            </w:pPr>
            <w:r>
              <w:t xml:space="preserve">81</w:t>
            </w:r>
          </w:p>
        </w:tc>
        <w:tc>
          <w:tcPr/>
          <w:p>
            <w:pPr>
              <w:pStyle w:val="Compact"/>
              <w:jc w:val="right"/>
            </w:pPr>
            <w:r>
              <w:t xml:space="preserve">10</w:t>
            </w:r>
          </w:p>
        </w:tc>
        <w:tc>
          <w:tcPr/>
          <w:p>
            <w:pPr>
              <w:pStyle w:val="Compact"/>
              <w:jc w:val="right"/>
            </w:pPr>
            <w:r>
              <w:t xml:space="preserve">9</w:t>
            </w:r>
          </w:p>
        </w:tc>
        <w:tc>
          <w:tcPr/>
          <w:p>
            <w:pPr>
              <w:pStyle w:val="Compact"/>
              <w:jc w:val="right"/>
            </w:pPr>
            <w:r>
              <w:t xml:space="preserve">9</w:t>
            </w:r>
          </w:p>
        </w:tc>
        <w:tc>
          <w:tcPr/>
          <w:p>
            <w:pPr>
              <w:pStyle w:val="Compact"/>
              <w:jc w:val="right"/>
            </w:pPr>
            <w:r>
              <w:t xml:space="preserve">8</w:t>
            </w:r>
          </w:p>
        </w:tc>
        <w:tc>
          <w:tcPr/>
          <w:p>
            <w:pPr>
              <w:pStyle w:val="Compact"/>
            </w:pPr>
            <w:r>
              <w:t xml:space="preserve">S9:9,021,917; P=5.08×10−14</w:t>
            </w:r>
          </w:p>
        </w:tc>
      </w:tr>
      <w:tr>
        <w:tc>
          <w:tcPr/>
          <w:p>
            <w:pPr>
              <w:pStyle w:val="Compact"/>
            </w:pPr>
            <w:r>
              <w:t xml:space="preserve">Plant density</w:t>
            </w:r>
          </w:p>
        </w:tc>
        <w:tc>
          <w:tcPr/>
          <w:p>
            <w:pPr>
              <w:pStyle w:val="Compact"/>
              <w:jc w:val="right"/>
            </w:pPr>
            <w:r>
              <w:t xml:space="preserve">75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None</w:t>
            </w:r>
          </w:p>
        </w:tc>
      </w:tr>
      <w:tr>
        <w:tc>
          <w:tcPr/>
          <w:p>
            <w:pPr>
              <w:pStyle w:val="Compact"/>
            </w:pPr>
            <w:r>
              <w:t xml:space="preserve">Number of tillers</w:t>
            </w:r>
          </w:p>
        </w:tc>
        <w:tc>
          <w:tcPr/>
          <w:p>
            <w:pPr>
              <w:pStyle w:val="Compact"/>
              <w:jc w:val="right"/>
            </w:pPr>
            <w:r>
              <w:t xml:space="preserve">81</w:t>
            </w:r>
          </w:p>
        </w:tc>
        <w:tc>
          <w:tcPr/>
          <w:p>
            <w:pPr>
              <w:pStyle w:val="Compact"/>
              <w:jc w:val="right"/>
            </w:pPr>
            <w:r>
              <w:t xml:space="preserve">32</w:t>
            </w:r>
          </w:p>
        </w:tc>
        <w:tc>
          <w:tcPr/>
          <w:p>
            <w:pPr>
              <w:pStyle w:val="Compact"/>
              <w:jc w:val="right"/>
            </w:pPr>
            <w:r>
              <w:t xml:space="preserve">28</w:t>
            </w:r>
          </w:p>
        </w:tc>
        <w:tc>
          <w:tcPr/>
          <w:p>
            <w:pPr>
              <w:pStyle w:val="Compact"/>
              <w:jc w:val="right"/>
            </w:pPr>
            <w:r>
              <w:t xml:space="preserve">4</w:t>
            </w:r>
          </w:p>
        </w:tc>
        <w:tc>
          <w:tcPr/>
          <w:p>
            <w:pPr>
              <w:pStyle w:val="Compact"/>
              <w:jc w:val="right"/>
            </w:pPr>
            <w:r>
              <w:t xml:space="preserve">4</w:t>
            </w:r>
          </w:p>
        </w:tc>
        <w:tc>
          <w:tcPr/>
          <w:p>
            <w:pPr>
              <w:pStyle w:val="Compact"/>
            </w:pPr>
            <w:r>
              <w:t xml:space="preserve">S4:22,532,145; P=6.33×10−10</w:t>
            </w:r>
          </w:p>
        </w:tc>
      </w:tr>
      <w:tr>
        <w:tc>
          <w:tcPr/>
          <w:p>
            <w:pPr>
              <w:pStyle w:val="Compact"/>
            </w:pPr>
            <w:r>
              <w:t xml:space="preserve">Days to harvest</w:t>
            </w:r>
          </w:p>
        </w:tc>
        <w:tc>
          <w:tcPr/>
          <w:p>
            <w:pPr>
              <w:pStyle w:val="Compact"/>
              <w:jc w:val="right"/>
            </w:pPr>
            <w:r>
              <w:t xml:space="preserve">80</w:t>
            </w:r>
          </w:p>
        </w:tc>
        <w:tc>
          <w:tcPr/>
          <w:p>
            <w:pPr>
              <w:pStyle w:val="Compact"/>
              <w:jc w:val="right"/>
            </w:pPr>
            <w:r>
              <w:t xml:space="preserve">7</w:t>
            </w:r>
          </w:p>
        </w:tc>
        <w:tc>
          <w:tcPr/>
          <w:p>
            <w:pPr>
              <w:pStyle w:val="Compact"/>
              <w:jc w:val="right"/>
            </w:pPr>
            <w:r>
              <w:t xml:space="preserve">6</w:t>
            </w:r>
          </w:p>
        </w:tc>
        <w:tc>
          <w:tcPr/>
          <w:p>
            <w:pPr>
              <w:pStyle w:val="Compact"/>
              <w:jc w:val="right"/>
            </w:pPr>
            <w:r>
              <w:t xml:space="preserve">4</w:t>
            </w:r>
          </w:p>
        </w:tc>
        <w:tc>
          <w:tcPr/>
          <w:p>
            <w:pPr>
              <w:pStyle w:val="Compact"/>
              <w:jc w:val="right"/>
            </w:pPr>
            <w:r>
              <w:t xml:space="preserve">4</w:t>
            </w:r>
          </w:p>
        </w:tc>
        <w:tc>
          <w:tcPr/>
          <w:p>
            <w:pPr>
              <w:pStyle w:val="Compact"/>
            </w:pPr>
            <w:r>
              <w:t xml:space="preserve">S8:30,155,739; P=1.16×10−12</w:t>
            </w:r>
          </w:p>
        </w:tc>
      </w:tr>
      <w:tr>
        <w:tc>
          <w:tcPr/>
          <w:p>
            <w:pPr>
              <w:pStyle w:val="Compact"/>
            </w:pPr>
            <w:r>
              <w:t xml:space="preserve">NDVI</w:t>
            </w:r>
          </w:p>
        </w:tc>
        <w:tc>
          <w:tcPr/>
          <w:p>
            <w:pPr>
              <w:pStyle w:val="Compact"/>
              <w:jc w:val="right"/>
            </w:pPr>
            <w:r>
              <w:t xml:space="preserve">81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None</w:t>
            </w:r>
          </w:p>
        </w:tc>
      </w:tr>
      <w:tr>
        <w:tc>
          <w:tcPr/>
          <w:p>
            <w:pPr>
              <w:pStyle w:val="Compact"/>
            </w:pPr>
            <w:r>
              <w:t xml:space="preserve">Fluorescence</w:t>
            </w:r>
          </w:p>
        </w:tc>
        <w:tc>
          <w:tcPr/>
          <w:p>
            <w:pPr>
              <w:pStyle w:val="Compact"/>
              <w:jc w:val="right"/>
            </w:pPr>
            <w:r>
              <w:t xml:space="preserve">81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None</w:t>
            </w:r>
          </w:p>
        </w:tc>
      </w:tr>
      <w:tr>
        <w:tc>
          <w:tcPr/>
          <w:p>
            <w:pPr>
              <w:pStyle w:val="Compact"/>
            </w:pPr>
            <w:r>
              <w:t xml:space="preserve">Seed protein</w:t>
            </w:r>
          </w:p>
        </w:tc>
        <w:tc>
          <w:tcPr/>
          <w:p>
            <w:pPr>
              <w:pStyle w:val="Compact"/>
              <w:jc w:val="right"/>
            </w:pPr>
            <w:r>
              <w:t xml:space="preserve">67</w:t>
            </w:r>
          </w:p>
        </w:tc>
        <w:tc>
          <w:tcPr/>
          <w:p>
            <w:pPr>
              <w:pStyle w:val="Compact"/>
              <w:jc w:val="right"/>
            </w:pPr>
            <w:r>
              <w:t xml:space="preserve">11</w:t>
            </w:r>
          </w:p>
        </w:tc>
        <w:tc>
          <w:tcPr/>
          <w:p>
            <w:pPr>
              <w:pStyle w:val="Compact"/>
              <w:jc w:val="right"/>
            </w:pPr>
            <w:r>
              <w:t xml:space="preserve">10</w:t>
            </w:r>
          </w:p>
        </w:tc>
        <w:tc>
          <w:tcPr/>
          <w:p>
            <w:pPr>
              <w:pStyle w:val="Compact"/>
              <w:jc w:val="right"/>
            </w:pPr>
            <w:r>
              <w:t xml:space="preserve">8</w:t>
            </w:r>
          </w:p>
        </w:tc>
        <w:tc>
          <w:tcPr/>
          <w:p>
            <w:pPr>
              <w:pStyle w:val="Compact"/>
              <w:jc w:val="right"/>
            </w:pPr>
            <w:r>
              <w:t xml:space="preserve">8</w:t>
            </w:r>
          </w:p>
        </w:tc>
        <w:tc>
          <w:tcPr/>
          <w:p>
            <w:pPr>
              <w:pStyle w:val="Compact"/>
            </w:pPr>
            <w:r>
              <w:t xml:space="preserve">S6:28,801,701; P=5.58×10−18</w:t>
            </w:r>
          </w:p>
        </w:tc>
      </w:tr>
    </w:tbl>
    <w:p>
      <w:pPr>
        <w:pStyle w:val="BodyText"/>
      </w:pPr>
      <w:r>
        <w:t xml:space="preserve">Plant density, NDVI and fluorescence produced no significant associations under the final QC. Seed fat and 2023 seed protein also produced no significant associations.</w:t>
      </w:r>
    </w:p>
    <w:bookmarkEnd w:id="15"/>
    <w:bookmarkStart w:id="16" w:name="model-contributions"/>
    <w:p>
      <w:pPr>
        <w:pStyle w:val="Heading2"/>
      </w:pPr>
      <w:r>
        <w:t xml:space="preserve">Model contributions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jc w:val="right"/>
            </w:pPr>
            <w:r>
              <w:t xml:space="preserve">Records</w:t>
            </w:r>
          </w:p>
        </w:tc>
        <w:tc>
          <w:tcPr/>
          <w:p>
            <w:pPr>
              <w:pStyle w:val="Compact"/>
              <w:jc w:val="right"/>
            </w:pPr>
            <w:r>
              <w:t xml:space="preserve">Unique SNPs</w:t>
            </w:r>
          </w:p>
        </w:tc>
        <w:tc>
          <w:tcPr/>
          <w:p>
            <w:pPr>
              <w:pStyle w:val="Compact"/>
              <w:jc w:val="right"/>
            </w:pPr>
            <w:r>
              <w:t xml:space="preserve">MAF-supported records</w:t>
            </w:r>
          </w:p>
        </w:tc>
        <w:tc>
          <w:tcPr/>
          <w:p>
            <w:pPr>
              <w:pStyle w:val="Compact"/>
              <w:jc w:val="right"/>
            </w:pPr>
            <w:r>
              <w:t xml:space="preserve">MAF-supported SNPs</w:t>
            </w:r>
          </w:p>
        </w:tc>
        <w:tc>
          <w:tcPr/>
          <w:p>
            <w:pPr>
              <w:pStyle w:val="Compact"/>
              <w:jc w:val="right"/>
            </w:pPr>
            <w:r>
              <w:t xml:space="preserve">Median λGC</w:t>
            </w:r>
          </w:p>
        </w:tc>
      </w:tr>
      <w:tr>
        <w:tc>
          <w:tcPr/>
          <w:p>
            <w:pPr>
              <w:pStyle w:val="Compact"/>
            </w:pPr>
            <w:r>
              <w:t xml:space="preserve">FarmCPU</w:t>
            </w:r>
          </w:p>
        </w:tc>
        <w:tc>
          <w:tcPr/>
          <w:p>
            <w:pPr>
              <w:pStyle w:val="Compact"/>
              <w:jc w:val="right"/>
            </w:pPr>
            <w:r>
              <w:t xml:space="preserve">89</w:t>
            </w:r>
          </w:p>
        </w:tc>
        <w:tc>
          <w:tcPr/>
          <w:p>
            <w:pPr>
              <w:pStyle w:val="Compact"/>
              <w:jc w:val="right"/>
            </w:pPr>
            <w:r>
              <w:t xml:space="preserve">84</w:t>
            </w:r>
          </w:p>
        </w:tc>
        <w:tc>
          <w:tcPr/>
          <w:p>
            <w:pPr>
              <w:pStyle w:val="Compact"/>
              <w:jc w:val="right"/>
            </w:pPr>
            <w:r>
              <w:t xml:space="preserve">66</w:t>
            </w:r>
          </w:p>
        </w:tc>
        <w:tc>
          <w:tcPr/>
          <w:p>
            <w:pPr>
              <w:pStyle w:val="Compact"/>
              <w:jc w:val="right"/>
            </w:pPr>
            <w:r>
              <w:t xml:space="preserve">64</w:t>
            </w:r>
          </w:p>
        </w:tc>
        <w:tc>
          <w:tcPr/>
          <w:p>
            <w:pPr>
              <w:pStyle w:val="Compact"/>
              <w:jc w:val="right"/>
            </w:pPr>
            <w:r>
              <w:t xml:space="preserve">0.959</w:t>
            </w:r>
          </w:p>
        </w:tc>
      </w:tr>
      <w:tr>
        <w:tc>
          <w:tcPr/>
          <w:p>
            <w:pPr>
              <w:pStyle w:val="Compact"/>
            </w:pPr>
            <w:r>
              <w:t xml:space="preserve">BLINK</w:t>
            </w:r>
          </w:p>
        </w:tc>
        <w:tc>
          <w:tcPr/>
          <w:p>
            <w:pPr>
              <w:pStyle w:val="Compact"/>
              <w:jc w:val="right"/>
            </w:pPr>
            <w:r>
              <w:t xml:space="preserve">53</w:t>
            </w:r>
          </w:p>
        </w:tc>
        <w:tc>
          <w:tcPr/>
          <w:p>
            <w:pPr>
              <w:pStyle w:val="Compact"/>
              <w:jc w:val="right"/>
            </w:pPr>
            <w:r>
              <w:t xml:space="preserve">50</w:t>
            </w:r>
          </w:p>
        </w:tc>
        <w:tc>
          <w:tcPr/>
          <w:p>
            <w:pPr>
              <w:pStyle w:val="Compact"/>
              <w:jc w:val="right"/>
            </w:pPr>
            <w:r>
              <w:t xml:space="preserve">38</w:t>
            </w:r>
          </w:p>
        </w:tc>
        <w:tc>
          <w:tcPr/>
          <w:p>
            <w:pPr>
              <w:pStyle w:val="Compact"/>
              <w:jc w:val="right"/>
            </w:pPr>
            <w:r>
              <w:t xml:space="preserve">36</w:t>
            </w:r>
          </w:p>
        </w:tc>
        <w:tc>
          <w:tcPr/>
          <w:p>
            <w:pPr>
              <w:pStyle w:val="Compact"/>
              <w:jc w:val="right"/>
            </w:pPr>
            <w:r>
              <w:t xml:space="preserve">0.998</w:t>
            </w:r>
          </w:p>
        </w:tc>
      </w:tr>
      <w:tr>
        <w:tc>
          <w:tcPr/>
          <w:p>
            <w:pPr>
              <w:pStyle w:val="Compact"/>
            </w:pPr>
            <w:r>
              <w:t xml:space="preserve">MLM</w:t>
            </w:r>
          </w:p>
        </w:tc>
        <w:tc>
          <w:tcPr/>
          <w:p>
            <w:pPr>
              <w:pStyle w:val="Compact"/>
              <w:jc w:val="right"/>
            </w:pPr>
            <w:r>
              <w:t xml:space="preserve">39</w:t>
            </w:r>
          </w:p>
        </w:tc>
        <w:tc>
          <w:tcPr/>
          <w:p>
            <w:pPr>
              <w:pStyle w:val="Compact"/>
              <w:jc w:val="right"/>
            </w:pPr>
            <w:r>
              <w:t xml:space="preserve">39</w:t>
            </w:r>
          </w:p>
        </w:tc>
        <w:tc>
          <w:tcPr/>
          <w:p>
            <w:pPr>
              <w:pStyle w:val="Compact"/>
              <w:jc w:val="right"/>
            </w:pPr>
            <w:r>
              <w:t xml:space="preserve">1</w:t>
            </w:r>
          </w:p>
        </w:tc>
        <w:tc>
          <w:tcPr/>
          <w:p>
            <w:pPr>
              <w:pStyle w:val="Compact"/>
              <w:jc w:val="right"/>
            </w:pPr>
            <w:r>
              <w:t xml:space="preserve">1</w:t>
            </w:r>
          </w:p>
        </w:tc>
        <w:tc>
          <w:tcPr/>
          <w:p>
            <w:pPr>
              <w:pStyle w:val="Compact"/>
              <w:jc w:val="right"/>
            </w:pPr>
            <w:r>
              <w:t xml:space="preserve">0.992</w:t>
            </w:r>
          </w:p>
        </w:tc>
      </w:tr>
    </w:tbl>
    <w:p>
      <w:pPr>
        <w:pStyle w:val="BodyText"/>
      </w:pPr>
      <w:r>
        <w:t xml:space="preserve">FarmCPU detected the largest number of supported signals. Median inflation factors were close to one, but individual QQ plots should still be inspected; the maximum λ was 1.228 for BLINK.</w:t>
      </w:r>
    </w:p>
    <w:bookmarkEnd w:id="16"/>
    <w:bookmarkStart w:id="17" w:name="strongest-maf-supported-signals"/>
    <w:p>
      <w:pPr>
        <w:pStyle w:val="Heading2"/>
      </w:pPr>
      <w:r>
        <w:t xml:space="preserve">Strongest MAF-supported signals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Environment/trait</w:t>
            </w:r>
          </w:p>
        </w:tc>
        <w:tc>
          <w:tcPr/>
          <w:p>
            <w:pPr>
              <w:pStyle w:val="Compact"/>
            </w:pPr>
            <w:r>
              <w:t xml:space="preserve">Model</w:t>
            </w:r>
          </w:p>
        </w:tc>
        <w:tc>
          <w:tcPr/>
          <w:p>
            <w:pPr>
              <w:pStyle w:val="Compact"/>
            </w:pPr>
            <w:r>
              <w:t xml:space="preserve">SNP</w:t>
            </w:r>
          </w:p>
        </w:tc>
        <w:tc>
          <w:tcPr/>
          <w:p>
            <w:pPr>
              <w:pStyle w:val="Compact"/>
              <w:jc w:val="right"/>
            </w:pPr>
            <w:r>
              <w:t xml:space="preserve">P-value</w:t>
            </w:r>
          </w:p>
        </w:tc>
        <w:tc>
          <w:tcPr/>
          <w:p>
            <w:pPr>
              <w:pStyle w:val="Compact"/>
              <w:jc w:val="right"/>
            </w:pPr>
            <w:r>
              <w:t xml:space="preserve">MAF</w:t>
            </w:r>
          </w:p>
        </w:tc>
        <w:tc>
          <w:tcPr/>
          <w:p>
            <w:pPr>
              <w:pStyle w:val="Compact"/>
              <w:jc w:val="right"/>
            </w:pPr>
            <w:r>
              <w:t xml:space="preserve">Effect</w:t>
            </w:r>
          </w:p>
        </w:tc>
      </w:tr>
      <w:tr>
        <w:tc>
          <w:tcPr/>
          <w:p>
            <w:pPr>
              <w:pStyle w:val="Compact"/>
            </w:pPr>
            <w:r>
              <w:t xml:space="preserve">N40 days to harvest</w:t>
            </w:r>
          </w:p>
        </w:tc>
        <w:tc>
          <w:tcPr/>
          <w:p>
            <w:pPr>
              <w:pStyle w:val="Compact"/>
            </w:pPr>
            <w:r>
              <w:t xml:space="preserve">FarmCPU</w:t>
            </w:r>
          </w:p>
        </w:tc>
        <w:tc>
          <w:tcPr/>
          <w:p>
            <w:pPr>
              <w:pStyle w:val="Compact"/>
            </w:pPr>
            <w:r>
              <w:t xml:space="preserve">S7:2,121,353</w:t>
            </w:r>
          </w:p>
        </w:tc>
        <w:tc>
          <w:tcPr/>
          <w:p>
            <w:pPr>
              <w:pStyle w:val="Compact"/>
              <w:jc w:val="right"/>
            </w:pPr>
            <w:r>
              <w:t xml:space="preserve">1.07×10−31</w:t>
            </w:r>
          </w:p>
        </w:tc>
        <w:tc>
          <w:tcPr/>
          <w:p>
            <w:pPr>
              <w:pStyle w:val="Compact"/>
              <w:jc w:val="right"/>
            </w:pPr>
            <w:r>
              <w:t xml:space="preserve">0.069</w:t>
            </w:r>
          </w:p>
        </w:tc>
        <w:tc>
          <w:tcPr/>
          <w:p>
            <w:pPr>
              <w:pStyle w:val="Compact"/>
              <w:jc w:val="right"/>
            </w:pPr>
            <w:r>
              <w:t xml:space="preserve">+24.99</w:t>
            </w:r>
          </w:p>
        </w:tc>
      </w:tr>
      <w:tr>
        <w:tc>
          <w:tcPr/>
          <w:p>
            <w:pPr>
              <w:pStyle w:val="Compact"/>
            </w:pPr>
            <w:r>
              <w:t xml:space="preserve">2023 flowering</w:t>
            </w:r>
          </w:p>
        </w:tc>
        <w:tc>
          <w:tcPr/>
          <w:p>
            <w:pPr>
              <w:pStyle w:val="Compact"/>
            </w:pPr>
            <w:r>
              <w:t xml:space="preserve">FarmCPU</w:t>
            </w:r>
          </w:p>
        </w:tc>
        <w:tc>
          <w:tcPr/>
          <w:p>
            <w:pPr>
              <w:pStyle w:val="Compact"/>
            </w:pPr>
            <w:r>
              <w:t xml:space="preserve">S7:17,136,277</w:t>
            </w:r>
          </w:p>
        </w:tc>
        <w:tc>
          <w:tcPr/>
          <w:p>
            <w:pPr>
              <w:pStyle w:val="Compact"/>
              <w:jc w:val="right"/>
            </w:pPr>
            <w:r>
              <w:t xml:space="preserve">2.66×10−23</w:t>
            </w:r>
          </w:p>
        </w:tc>
        <w:tc>
          <w:tcPr/>
          <w:p>
            <w:pPr>
              <w:pStyle w:val="Compact"/>
              <w:jc w:val="right"/>
            </w:pPr>
            <w:r>
              <w:t xml:space="preserve">0.120</w:t>
            </w:r>
          </w:p>
        </w:tc>
        <w:tc>
          <w:tcPr/>
          <w:p>
            <w:pPr>
              <w:pStyle w:val="Compact"/>
              <w:jc w:val="right"/>
            </w:pPr>
            <w:r>
              <w:t xml:space="preserve">+10.88</w:t>
            </w:r>
          </w:p>
        </w:tc>
      </w:tr>
      <w:tr>
        <w:tc>
          <w:tcPr/>
          <w:p>
            <w:pPr>
              <w:pStyle w:val="Compact"/>
            </w:pPr>
            <w:r>
              <w:t xml:space="preserve">N40 height</w:t>
            </w:r>
          </w:p>
        </w:tc>
        <w:tc>
          <w:tcPr/>
          <w:p>
            <w:pPr>
              <w:pStyle w:val="Compact"/>
            </w:pPr>
            <w:r>
              <w:t xml:space="preserve">FarmCPU</w:t>
            </w:r>
          </w:p>
        </w:tc>
        <w:tc>
          <w:tcPr/>
          <w:p>
            <w:pPr>
              <w:pStyle w:val="Compact"/>
            </w:pPr>
            <w:r>
              <w:t xml:space="preserve">S9:9,021,917</w:t>
            </w:r>
          </w:p>
        </w:tc>
        <w:tc>
          <w:tcPr/>
          <w:p>
            <w:pPr>
              <w:pStyle w:val="Compact"/>
              <w:jc w:val="right"/>
            </w:pPr>
            <w:r>
              <w:t xml:space="preserve">8.97×10−22</w:t>
            </w:r>
          </w:p>
        </w:tc>
        <w:tc>
          <w:tcPr/>
          <w:p>
            <w:pPr>
              <w:pStyle w:val="Compact"/>
              <w:jc w:val="right"/>
            </w:pPr>
            <w:r>
              <w:t xml:space="preserve">0.093</w:t>
            </w:r>
          </w:p>
        </w:tc>
        <w:tc>
          <w:tcPr/>
          <w:p>
            <w:pPr>
              <w:pStyle w:val="Compact"/>
              <w:jc w:val="right"/>
            </w:pPr>
            <w:r>
              <w:t xml:space="preserve">+13.30</w:t>
            </w:r>
          </w:p>
        </w:tc>
      </w:tr>
      <w:tr>
        <w:tc>
          <w:tcPr/>
          <w:p>
            <w:pPr>
              <w:pStyle w:val="Compact"/>
            </w:pPr>
            <w:r>
              <w:t xml:space="preserve">N120 flowering</w:t>
            </w:r>
          </w:p>
        </w:tc>
        <w:tc>
          <w:tcPr/>
          <w:p>
            <w:pPr>
              <w:pStyle w:val="Compact"/>
            </w:pPr>
            <w:r>
              <w:t xml:space="preserve">BLINK</w:t>
            </w:r>
          </w:p>
        </w:tc>
        <w:tc>
          <w:tcPr/>
          <w:p>
            <w:pPr>
              <w:pStyle w:val="Compact"/>
            </w:pPr>
            <w:r>
              <w:t xml:space="preserve">S8:3,818,991</w:t>
            </w:r>
          </w:p>
        </w:tc>
        <w:tc>
          <w:tcPr/>
          <w:p>
            <w:pPr>
              <w:pStyle w:val="Compact"/>
              <w:jc w:val="right"/>
            </w:pPr>
            <w:r>
              <w:t xml:space="preserve">1.02×10−20</w:t>
            </w:r>
          </w:p>
        </w:tc>
        <w:tc>
          <w:tcPr/>
          <w:p>
            <w:pPr>
              <w:pStyle w:val="Compact"/>
              <w:jc w:val="right"/>
            </w:pPr>
            <w:r>
              <w:t xml:space="preserve">0.113</w:t>
            </w:r>
          </w:p>
        </w:tc>
        <w:tc>
          <w:tcPr/>
          <w:p>
            <w:pPr>
              <w:pStyle w:val="Compact"/>
              <w:jc w:val="right"/>
            </w:pPr>
            <w:r>
              <w:t xml:space="preserve">+20.96</w:t>
            </w:r>
          </w:p>
        </w:tc>
      </w:tr>
      <w:tr>
        <w:tc>
          <w:tcPr/>
          <w:p>
            <w:pPr>
              <w:pStyle w:val="Compact"/>
            </w:pPr>
            <w:r>
              <w:t xml:space="preserve">N40 flowering</w:t>
            </w:r>
          </w:p>
        </w:tc>
        <w:tc>
          <w:tcPr/>
          <w:p>
            <w:pPr>
              <w:pStyle w:val="Compact"/>
            </w:pPr>
            <w:r>
              <w:t xml:space="preserve">BLINK</w:t>
            </w:r>
          </w:p>
        </w:tc>
        <w:tc>
          <w:tcPr/>
          <w:p>
            <w:pPr>
              <w:pStyle w:val="Compact"/>
            </w:pPr>
            <w:r>
              <w:t xml:space="preserve">S2:30,514,256</w:t>
            </w:r>
          </w:p>
        </w:tc>
        <w:tc>
          <w:tcPr/>
          <w:p>
            <w:pPr>
              <w:pStyle w:val="Compact"/>
              <w:jc w:val="right"/>
            </w:pPr>
            <w:r>
              <w:t xml:space="preserve">7.22×10−20</w:t>
            </w:r>
          </w:p>
        </w:tc>
        <w:tc>
          <w:tcPr/>
          <w:p>
            <w:pPr>
              <w:pStyle w:val="Compact"/>
              <w:jc w:val="right"/>
            </w:pPr>
            <w:r>
              <w:t xml:space="preserve">0.163</w:t>
            </w:r>
          </w:p>
        </w:tc>
        <w:tc>
          <w:tcPr/>
          <w:p>
            <w:pPr>
              <w:pStyle w:val="Compact"/>
              <w:jc w:val="right"/>
            </w:pPr>
            <w:r>
              <w:t xml:space="preserve">+11.52</w:t>
            </w:r>
          </w:p>
        </w:tc>
      </w:tr>
      <w:tr>
        <w:tc>
          <w:tcPr/>
          <w:p>
            <w:pPr>
              <w:pStyle w:val="Compact"/>
            </w:pPr>
            <w:r>
              <w:t xml:space="preserve">N40 tillers</w:t>
            </w:r>
          </w:p>
        </w:tc>
        <w:tc>
          <w:tcPr/>
          <w:p>
            <w:pPr>
              <w:pStyle w:val="Compact"/>
            </w:pPr>
            <w:r>
              <w:t xml:space="preserve">FarmCPU</w:t>
            </w:r>
          </w:p>
        </w:tc>
        <w:tc>
          <w:tcPr/>
          <w:p>
            <w:pPr>
              <w:pStyle w:val="Compact"/>
            </w:pPr>
            <w:r>
              <w:t xml:space="preserve">S6:32,361,467</w:t>
            </w:r>
          </w:p>
        </w:tc>
        <w:tc>
          <w:tcPr/>
          <w:p>
            <w:pPr>
              <w:pStyle w:val="Compact"/>
              <w:jc w:val="right"/>
            </w:pPr>
            <w:r>
              <w:t xml:space="preserve">5.35×10−19</w:t>
            </w:r>
          </w:p>
        </w:tc>
        <w:tc>
          <w:tcPr/>
          <w:p>
            <w:pPr>
              <w:pStyle w:val="Compact"/>
              <w:jc w:val="right"/>
            </w:pPr>
            <w:r>
              <w:t xml:space="preserve">0.099</w:t>
            </w:r>
          </w:p>
        </w:tc>
        <w:tc>
          <w:tcPr/>
          <w:p>
            <w:pPr>
              <w:pStyle w:val="Compact"/>
              <w:jc w:val="right"/>
            </w:pPr>
            <w:r>
              <w:t xml:space="preserve">+1.48</w:t>
            </w:r>
          </w:p>
        </w:tc>
      </w:tr>
      <w:tr>
        <w:tc>
          <w:tcPr/>
          <w:p>
            <w:pPr>
              <w:pStyle w:val="Compact"/>
            </w:pPr>
            <w:r>
              <w:t xml:space="preserve">N120 protein</w:t>
            </w:r>
          </w:p>
        </w:tc>
        <w:tc>
          <w:tcPr/>
          <w:p>
            <w:pPr>
              <w:pStyle w:val="Compact"/>
            </w:pPr>
            <w:r>
              <w:t xml:space="preserve">FarmCPU</w:t>
            </w:r>
          </w:p>
        </w:tc>
        <w:tc>
          <w:tcPr/>
          <w:p>
            <w:pPr>
              <w:pStyle w:val="Compact"/>
            </w:pPr>
            <w:r>
              <w:t xml:space="preserve">S6:28,801,701</w:t>
            </w:r>
          </w:p>
        </w:tc>
        <w:tc>
          <w:tcPr/>
          <w:p>
            <w:pPr>
              <w:pStyle w:val="Compact"/>
              <w:jc w:val="right"/>
            </w:pPr>
            <w:r>
              <w:t xml:space="preserve">5.58×10−18</w:t>
            </w:r>
          </w:p>
        </w:tc>
        <w:tc>
          <w:tcPr/>
          <w:p>
            <w:pPr>
              <w:pStyle w:val="Compact"/>
              <w:jc w:val="right"/>
            </w:pPr>
            <w:r>
              <w:t xml:space="preserve">0.104</w:t>
            </w:r>
          </w:p>
        </w:tc>
        <w:tc>
          <w:tcPr/>
          <w:p>
            <w:pPr>
              <w:pStyle w:val="Compact"/>
              <w:jc w:val="right"/>
            </w:pPr>
            <w:r>
              <w:t xml:space="preserve">+3.17</w:t>
            </w:r>
          </w:p>
        </w:tc>
      </w:tr>
    </w:tbl>
    <w:p>
      <w:pPr>
        <w:pStyle w:val="BodyText"/>
      </w:pPr>
      <w:r>
        <w:t xml:space="preserve">Effects use alternate-allele dosage and the units of the corresponding BLUE.</w:t>
      </w:r>
    </w:p>
    <w:bookmarkEnd w:id="17"/>
    <w:bookmarkStart w:id="18" w:name="recurrent-maf-supported-loci"/>
    <w:p>
      <w:pPr>
        <w:pStyle w:val="Heading2"/>
      </w:pPr>
      <w:r>
        <w:t xml:space="preserve">Recurrent MAF-supported loci</w:t>
      </w:r>
    </w:p>
    <w:p>
      <w:pPr>
        <w:pStyle w:val="Compact"/>
        <w:numPr>
          <w:ilvl w:val="0"/>
          <w:numId w:val="1002"/>
        </w:numPr>
      </w:pPr>
      <w:r>
        <w:t xml:space="preserve">S8:3,818,991 — flowering; four records across N40 and N120; BLINK/FarmCPU.</w:t>
      </w:r>
    </w:p>
    <w:p>
      <w:pPr>
        <w:pStyle w:val="Compact"/>
        <w:numPr>
          <w:ilvl w:val="0"/>
          <w:numId w:val="1002"/>
        </w:numPr>
      </w:pPr>
      <w:r>
        <w:t xml:space="preserve">S2:30,514,256 — N40 flowering and days to harvest; three records; BLINK/FarmCPU.</w:t>
      </w:r>
    </w:p>
    <w:p>
      <w:pPr>
        <w:pStyle w:val="Compact"/>
        <w:numPr>
          <w:ilvl w:val="0"/>
          <w:numId w:val="1002"/>
        </w:numPr>
      </w:pPr>
      <w:r>
        <w:t xml:space="preserve">S7:17,136,277 — 2023 flowering; BLINK/FarmCPU.</w:t>
      </w:r>
    </w:p>
    <w:p>
      <w:pPr>
        <w:pStyle w:val="Compact"/>
        <w:numPr>
          <w:ilvl w:val="0"/>
          <w:numId w:val="1002"/>
        </w:numPr>
      </w:pPr>
      <w:r>
        <w:t xml:space="preserve">S9:9,021,917 — plant height in N40 and N120; FarmCPU.</w:t>
      </w:r>
    </w:p>
    <w:p>
      <w:pPr>
        <w:pStyle w:val="Compact"/>
        <w:numPr>
          <w:ilvl w:val="0"/>
          <w:numId w:val="1002"/>
        </w:numPr>
      </w:pPr>
      <w:r>
        <w:t xml:space="preserve">S4:15,902,894 — N40 seed protein; BLINK/FarmCPU.</w:t>
      </w:r>
    </w:p>
    <w:p>
      <w:pPr>
        <w:pStyle w:val="Compact"/>
        <w:numPr>
          <w:ilvl w:val="0"/>
          <w:numId w:val="1002"/>
        </w:numPr>
      </w:pPr>
      <w:r>
        <w:t xml:space="preserve">S8:7,342,725 — N120 flowering; BLINK/FarmCPU.</w:t>
      </w:r>
    </w:p>
    <w:p>
      <w:pPr>
        <w:pStyle w:val="Compact"/>
        <w:numPr>
          <w:ilvl w:val="0"/>
          <w:numId w:val="1002"/>
        </w:numPr>
      </w:pPr>
      <w:r>
        <w:t xml:space="preserve">S8:33,914,787 — N120 height; BLINK/FarmCPU.</w:t>
      </w:r>
    </w:p>
    <w:p>
      <w:pPr>
        <w:pStyle w:val="FirstParagraph"/>
      </w:pPr>
      <w:r>
        <w:t xml:space="preserve">The shared height locus S9:9,021,917 and shared flowering locus S8:3,818,991 are especially useful for follow-up across nitrogen environments.</w:t>
      </w:r>
    </w:p>
    <w:bookmarkEnd w:id="18"/>
    <w:bookmarkStart w:id="19" w:name="candidate-gene-analysis"/>
    <w:p>
      <w:pPr>
        <w:pStyle w:val="Heading2"/>
      </w:pPr>
      <w:r>
        <w:t xml:space="preserve">Candidate-gene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Reference</w:t>
            </w:r>
          </w:p>
        </w:tc>
        <w:tc>
          <w:tcPr/>
          <w:p>
            <w:pPr>
              <w:pStyle w:val="Compact"/>
              <w:jc w:val="right"/>
            </w:pPr>
            <w:r>
              <w:t xml:space="preserve">Association–gene links</w:t>
            </w:r>
          </w:p>
        </w:tc>
        <w:tc>
          <w:tcPr/>
          <w:p>
            <w:pPr>
              <w:pStyle w:val="Compact"/>
              <w:jc w:val="right"/>
            </w:pPr>
            <w:r>
              <w:t xml:space="preserve">Unique genes</w:t>
            </w:r>
          </w:p>
        </w:tc>
        <w:tc>
          <w:tcPr/>
          <w:p>
            <w:pPr>
              <w:pStyle w:val="Compact"/>
              <w:jc w:val="right"/>
            </w:pPr>
            <w:r>
              <w:t xml:space="preserve">Direct-overlap MAF-supported subset</w:t>
            </w:r>
          </w:p>
        </w:tc>
      </w:tr>
      <w:tr>
        <w:tc>
          <w:tcPr/>
          <w:p>
            <w:pPr>
              <w:pStyle w:val="Compact"/>
            </w:pPr>
            <w:r>
              <w:t xml:space="preserve">Yugu1 v2</w:t>
            </w:r>
          </w:p>
        </w:tc>
        <w:tc>
          <w:tcPr/>
          <w:p>
            <w:pPr>
              <w:pStyle w:val="Compact"/>
              <w:jc w:val="right"/>
            </w:pPr>
            <w:r>
              <w:t xml:space="preserve">1,053</w:t>
            </w:r>
          </w:p>
        </w:tc>
        <w:tc>
          <w:tcPr/>
          <w:p>
            <w:pPr>
              <w:pStyle w:val="Compact"/>
              <w:jc w:val="right"/>
            </w:pPr>
            <w:r>
              <w:t xml:space="preserve">735</w:t>
            </w:r>
          </w:p>
        </w:tc>
        <w:tc>
          <w:tcPr/>
          <w:p>
            <w:pPr>
              <w:pStyle w:val="Compact"/>
              <w:jc w:val="right"/>
            </w:pPr>
            <w:r>
              <w:t xml:space="preserve">12 links; 11 genes</w:t>
            </w:r>
          </w:p>
        </w:tc>
      </w:tr>
      <w:tr>
        <w:tc>
          <w:tcPr/>
          <w:p>
            <w:pPr>
              <w:pStyle w:val="Compact"/>
            </w:pPr>
            <w:r>
              <w:t xml:space="preserve">Yugu1 T2T</w:t>
            </w:r>
          </w:p>
        </w:tc>
        <w:tc>
          <w:tcPr/>
          <w:p>
            <w:pPr>
              <w:pStyle w:val="Compact"/>
              <w:jc w:val="right"/>
            </w:pPr>
            <w:r>
              <w:t xml:space="preserve">1,602</w:t>
            </w:r>
          </w:p>
        </w:tc>
        <w:tc>
          <w:tcPr/>
          <w:p>
            <w:pPr>
              <w:pStyle w:val="Compact"/>
              <w:jc w:val="right"/>
            </w:pPr>
            <w:r>
              <w:t xml:space="preserve">1,047</w:t>
            </w:r>
          </w:p>
        </w:tc>
        <w:tc>
          <w:tcPr/>
          <w:p>
            <w:pPr>
              <w:pStyle w:val="Compact"/>
              <w:jc w:val="right"/>
            </w:pPr>
            <w:r>
              <w:t xml:space="preserve">25 links; 24 associations; 22 genes</w:t>
            </w:r>
          </w:p>
        </w:tc>
      </w:tr>
    </w:tbl>
    <w:p>
      <w:pPr>
        <w:pStyle w:val="BodyText"/>
      </w:pPr>
      <w:r>
        <w:t xml:space="preserve">Of 181 associations, 180 lifted uniquely to T2T and one was unmapped. Reference choice changed interval composition and direct gene assignments; T2T counts are annotations of the same association evidence, not additional GWAS discoveries.</w:t>
      </w:r>
    </w:p>
    <w:p>
      <w:pPr>
        <w:pStyle w:val="BodyText"/>
      </w:pPr>
      <w:r>
        <w:t xml:space="preserve">Direct-overlap candidates include:</w:t>
      </w:r>
    </w:p>
    <w:p>
      <w:pPr>
        <w:pStyle w:val="Compact"/>
        <w:numPr>
          <w:ilvl w:val="0"/>
          <w:numId w:val="1003"/>
        </w:numPr>
      </w:pPr>
      <w:r>
        <w:t xml:space="preserve">SULTR3;4, a probable sulfate transporter, for N40 tiller number.</w:t>
      </w:r>
    </w:p>
    <w:p>
      <w:pPr>
        <w:pStyle w:val="Compact"/>
        <w:numPr>
          <w:ilvl w:val="0"/>
          <w:numId w:val="1003"/>
        </w:numPr>
      </w:pPr>
      <w:r>
        <w:t xml:space="preserve">PLP3, a patatin-like protein, for N40 tiller number.</w:t>
      </w:r>
    </w:p>
    <w:p>
      <w:pPr>
        <w:pStyle w:val="Compact"/>
        <w:numPr>
          <w:ilvl w:val="0"/>
          <w:numId w:val="1003"/>
        </w:numPr>
      </w:pPr>
      <w:r>
        <w:t xml:space="preserve">APT1 and RSL2/bHLH139-like genes within the 2023 panicle-length region.</w:t>
      </w:r>
    </w:p>
    <w:p>
      <w:pPr>
        <w:pStyle w:val="Compact"/>
        <w:numPr>
          <w:ilvl w:val="0"/>
          <w:numId w:val="1003"/>
        </w:numPr>
      </w:pPr>
      <w:r>
        <w:t xml:space="preserve">dnaJ1/uncharacterized LOC101765238 for N120 days to harvest.</w:t>
      </w:r>
    </w:p>
    <w:p>
      <w:pPr>
        <w:pStyle w:val="Compact"/>
        <w:numPr>
          <w:ilvl w:val="0"/>
          <w:numId w:val="1003"/>
        </w:numPr>
      </w:pPr>
      <w:r>
        <w:t xml:space="preserve">THYN1/Seita.9G141300 at the height locus shared by N40 and N120; functional relevance is presently unclear.</w:t>
      </w:r>
    </w:p>
    <w:p>
      <w:pPr>
        <w:pStyle w:val="FirstParagraph"/>
      </w:pPr>
      <w:r>
        <w:t xml:space="preserve">These are positional hypotheses. None should be described as causal without replication, expression evidence and functional validation.</w:t>
      </w:r>
    </w:p>
    <w:bookmarkEnd w:id="19"/>
    <w:bookmarkStart w:id="20" w:name="conclusions"/>
    <w:p>
      <w:pPr>
        <w:pStyle w:val="Heading2"/>
      </w:pPr>
      <w:r>
        <w:t xml:space="preserve">Conclusions</w:t>
      </w:r>
    </w:p>
    <w:p>
      <w:pPr>
        <w:pStyle w:val="Compact"/>
        <w:numPr>
          <w:ilvl w:val="0"/>
          <w:numId w:val="1004"/>
        </w:numPr>
      </w:pPr>
      <w:r>
        <w:t xml:space="preserve">The final analysis identified 95 unique Bonferroni-significant SNPs with trait-specific MAF ≥0.05.</w:t>
      </w:r>
    </w:p>
    <w:p>
      <w:pPr>
        <w:pStyle w:val="Compact"/>
        <w:numPr>
          <w:ilvl w:val="0"/>
          <w:numId w:val="1004"/>
        </w:numPr>
      </w:pPr>
      <w:r>
        <w:t xml:space="preserve">Flowering time, height, tiller number, days to harvest, panicle/pedicel length and protein produced supported signals.</w:t>
      </w:r>
    </w:p>
    <w:p>
      <w:pPr>
        <w:pStyle w:val="Compact"/>
        <w:numPr>
          <w:ilvl w:val="0"/>
          <w:numId w:val="1004"/>
        </w:numPr>
      </w:pPr>
      <w:r>
        <w:t xml:space="preserve">Seven recurrent loci provide the strongest priorities for validation.</w:t>
      </w:r>
    </w:p>
    <w:p>
      <w:pPr>
        <w:pStyle w:val="Compact"/>
        <w:numPr>
          <w:ilvl w:val="0"/>
          <w:numId w:val="1004"/>
        </w:numPr>
      </w:pPr>
      <w:r>
        <w:t xml:space="preserve">S8:3,818,991 for flowering and S9:9,021,917 for height were detected across N40 and N120.</w:t>
      </w:r>
    </w:p>
    <w:p>
      <w:pPr>
        <w:pStyle w:val="Compact"/>
        <w:numPr>
          <w:ilvl w:val="0"/>
          <w:numId w:val="1004"/>
        </w:numPr>
      </w:pPr>
      <w:r>
        <w:t xml:space="preserve">The strongest signal was S7:2,121,353 for days to harvest under N40.</w:t>
      </w:r>
    </w:p>
    <w:p>
      <w:pPr>
        <w:pStyle w:val="Compact"/>
        <w:numPr>
          <w:ilvl w:val="0"/>
          <w:numId w:val="1004"/>
        </w:numPr>
      </w:pPr>
      <w:r>
        <w:t xml:space="preserve">Candidate-gene results are reference dependent and require functional evidence.</w:t>
      </w:r>
    </w:p>
    <w:bookmarkEnd w:id="20"/>
    <w:bookmarkStart w:id="21" w:name="limitations-and-next-steps"/>
    <w:p>
      <w:pPr>
        <w:pStyle w:val="Heading2"/>
      </w:pPr>
      <w:r>
        <w:t xml:space="preserve">Limitations and next steps</w:t>
      </w:r>
    </w:p>
    <w:p>
      <w:pPr>
        <w:pStyle w:val="Compact"/>
        <w:numPr>
          <w:ilvl w:val="0"/>
          <w:numId w:val="1005"/>
        </w:numPr>
      </w:pPr>
      <w:r>
        <w:t xml:space="preserve">Reapply MAF ≥0.05 inside each trait subset and rerun as a sensitivity analysis.</w:t>
      </w:r>
    </w:p>
    <w:p>
      <w:pPr>
        <w:pStyle w:val="Compact"/>
        <w:numPr>
          <w:ilvl w:val="0"/>
          <w:numId w:val="1005"/>
        </w:numPr>
      </w:pPr>
      <w:r>
        <w:t xml:space="preserve">Validate priority SNPs in an independent population or season.</w:t>
      </w:r>
    </w:p>
    <w:p>
      <w:pPr>
        <w:pStyle w:val="Compact"/>
        <w:numPr>
          <w:ilvl w:val="0"/>
          <w:numId w:val="1005"/>
        </w:numPr>
      </w:pPr>
      <w:r>
        <w:t xml:space="preserve">Examine local haplotypes and LD around recurrent loci.</w:t>
      </w:r>
    </w:p>
    <w:p>
      <w:pPr>
        <w:pStyle w:val="Compact"/>
        <w:numPr>
          <w:ilvl w:val="0"/>
          <w:numId w:val="1005"/>
        </w:numPr>
      </w:pPr>
      <w:r>
        <w:t xml:space="preserve">Generate tissue- and stage-matched expression data under N40 and N120.</w:t>
      </w:r>
    </w:p>
    <w:p>
      <w:pPr>
        <w:pStyle w:val="Compact"/>
        <w:numPr>
          <w:ilvl w:val="0"/>
          <w:numId w:val="1005"/>
        </w:numPr>
      </w:pPr>
      <w:r>
        <w:t xml:space="preserve">Do not claim formal nitrogen treatment effects or genotype-by-nitrogen interaction from the present layout.</w:t>
      </w:r>
    </w:p>
    <w:p>
      <w:pPr>
        <w:pStyle w:val="Compact"/>
        <w:numPr>
          <w:ilvl w:val="0"/>
          <w:numId w:val="1005"/>
        </w:numPr>
      </w:pPr>
      <w:r>
        <w:t xml:space="preserve">Do not carry forward LOGL7 or other candidates from the archived 20%-missingness analysis; they are not current results.</w:t>
      </w:r>
    </w:p>
    <w:bookmarkEnd w:id="21"/>
    <w:bookmarkStart w:id="22" w:name="thirty-second-summary"/>
    <w:p>
      <w:pPr>
        <w:pStyle w:val="Heading2"/>
      </w:pPr>
      <w:r>
        <w:t xml:space="preserve">Thirty-second summary</w:t>
      </w:r>
    </w:p>
    <w:p>
      <w:pPr>
        <w:pStyle w:val="FirstParagraph"/>
      </w:pPr>
      <w:r>
        <w:t xml:space="preserve">“After restricting the dataset to chromosomes one to nine and applying 10% missingness thresholds, we retained 177 accessions and 848,687 SNPs. Across 72 seeded GWAS analyses, we detected 181 Bonferroni-significant records representing 160 unique SNPs. The preferred trait-specific MAF subset contained 95 unique SNPs, including seven recurrent loci. Flowering and height loci were shared across the separately analysed N40 and N120 environments, while the strongest association was for days to harvest under N40. Candidate-gene analysis with both Yugu1 version 2 and T2T references produced a focused set of direct-overlap genes, but these remain positional hypotheses requiring independent validation.”</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2026-09-09T13:10:46Z</dcterms:created>
  <dcterms:modified xsi:type="dcterms:W3CDTF">2026-09-09T13:10:46Z</dcterms:modified>
</cp:coreProperties>
</file>

<file path=docProps/custom.xml><?xml version="1.0" encoding="utf-8"?>
<Properties xmlns="http://schemas.openxmlformats.org/officeDocument/2006/custom-properties" xmlns:vt="http://schemas.openxmlformats.org/officeDocument/2006/docPropsVTypes"/>
</file>