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</w:pPr>
      <w:r>
        <w:rPr>
          <w:rFonts w:ascii="Calibri" w:cs="Calibri" w:eastAsia="Calibri" w:hAnsi="Calibri"/>
          <w:b/>
          <w:bCs/>
          <w:color w:val="2D39B9"/>
          <w:spacing w:val="60"/>
          <w:sz w:val="22"/>
          <w:szCs w:val="22"/>
        </w:rPr>
        <w:t xml:space="preserve">BALCÃO DAS SUCESSÕES</w:t>
      </w:r>
    </w:p>
    <w:p>
      <w:pPr>
        <w:spacing w:after="120" w:before="120"/>
      </w:pPr>
      <w:r>
        <w:rPr>
          <w:rFonts w:ascii="Cambria" w:cs="Cambria" w:eastAsia="Cambria" w:hAnsi="Cambria"/>
          <w:b/>
          <w:bCs/>
          <w:color w:val="1B1F3B"/>
          <w:sz w:val="72"/>
          <w:szCs w:val="72"/>
        </w:rPr>
        <w:t xml:space="preserve">Manual do utilizador</w:t>
      </w:r>
    </w:p>
    <w:p>
      <w:pPr>
        <w:spacing w:after="360"/>
      </w:pPr>
      <w:r>
        <w:rPr>
          <w:rFonts w:ascii="Calibri" w:cs="Calibri" w:eastAsia="Calibri" w:hAnsi="Calibri"/>
          <w:color w:val="5B6180"/>
          <w:sz w:val="26"/>
          <w:szCs w:val="26"/>
        </w:rPr>
        <w:t xml:space="preserve">Gestão profissional de processos sucessórios — aplicação web progressiva (PWA), em português de Portugal, que funciona sem internet e guarda os dados apenas no dispositivo.</w:t>
      </w:r>
    </w:p>
    <w:p>
      <w:pPr>
        <w:spacing w:after="60"/>
      </w:pPr>
      <w:r>
        <w:rPr>
          <w:color w:val="1B1F3B"/>
          <w:sz w:val="22"/>
          <w:szCs w:val="22"/>
        </w:rPr>
        <w:t xml:space="preserve">Versão 2.1 · edição completa (20 iterações) · 17 de setembro de 2026</w:t>
      </w:r>
    </w:p>
    <w:p>
      <w:pPr>
        <w:spacing w:after="480"/>
      </w:pPr>
      <w:r>
        <w:rPr>
          <w:color w:val="1B1F3B"/>
          <w:sz w:val="22"/>
          <w:szCs w:val="22"/>
        </w:rPr>
        <w:t xml:space="preserve">Aplicação: </w:t>
      </w:r>
      <w:hyperlink w:history="1" r:id="rIdf07717hgyuw_wh58i_luh">
        <w:r>
          <w:rPr>
            <w:rStyle w:val="Hyperlink"/>
          </w:rPr>
          <w:t xml:space="preserve">https://nelsonsous.github.io/balcao-sucessoes/</w:t>
        </w:r>
      </w:hyperlink>
    </w:p>
    <w:p>
      <w:pPr>
        <w:spacing w:after="24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FFF6E5" w:sz="4"/>
          <w:left w:val="single" w:color="FFF6E5" w:sz="4"/>
          <w:bottom w:val="single" w:color="FFF6E5" w:sz="4"/>
          <w:right w:val="single" w:color="FFF6E5" w:sz="4"/>
          <w:insideH w:val="single" w:color="FFF6E5" w:sz="4"/>
          <w:insideV w:val="single" w:color="FFF6E5" w:sz="4"/>
        </w:tblBorders>
      </w:tblPr>
      <w:tblGrid>
        <w:gridCol w:w="9638"/>
      </w:tblGrid>
      <w:tr>
        <w:tc>
          <w:tcPr>
            <w:tcW w:type="dxa" w:w="9638"/>
            <w:shd w:fill="FFF6E5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8A5A00"/>
              </w:rPr>
              <w:t xml:space="preserve">Antes de começar</w:t>
            </w:r>
          </w:p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Todas as figuras deste manual usam </w:t>
            </w:r>
            <w:r>
              <w:rPr>
                <w:b/>
                <w:bCs/>
                <w:sz w:val="20"/>
                <w:szCs w:val="20"/>
              </w:rPr>
              <w:t xml:space="preserve">dados fictícios</w:t>
            </w:r>
            <w:r>
              <w:rPr>
                <w:sz w:val="20"/>
                <w:szCs w:val="20"/>
              </w:rPr>
              <w:t xml:space="preserve">. Os prazos, referências legais, análises internacionais e textos de apoio gerados pela aplicação são orientações de trabalho e devem ser </w:t>
            </w:r>
            <w:r>
              <w:rPr>
                <w:b/>
                <w:bCs/>
                <w:sz w:val="20"/>
                <w:szCs w:val="20"/>
              </w:rPr>
              <w:t xml:space="preserve">validados pela equipa em cada caso concreto</w:t>
            </w:r>
            <w:r>
              <w:rPr>
                <w:sz w:val="20"/>
                <w:szCs w:val="20"/>
              </w:rPr>
              <w:t xml:space="preserve"> — a aplicação não substitui o julgamento profissional.</w:t>
            </w:r>
          </w:p>
        </w:tc>
      </w:tr>
    </w:tbl>
    <w:p>
      <w:pPr>
        <w:sectPr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Índice</w:t>
      </w:r>
    </w:p>
    <w:p>
      <w:pPr>
        <w:tabs>
          <w:tab w:val="right" w:pos="9638" w:leader="dot"/>
        </w:tabs>
        <w:spacing w:after="30" w:before="120" w:line="252"/>
      </w:pPr>
      <w:r>
        <w:rPr>
          <w:b/>
          <w:bCs/>
          <w:color w:val="1B1F3B"/>
          <w:sz w:val="21"/>
          <w:szCs w:val="21"/>
        </w:rPr>
        <w:t xml:space="preserve">1. Sobre este manual</w:t>
      </w:r>
      <w:r>
        <w:rPr>
          <w:color w:val="1B1F3B"/>
          <w:sz w:val="21"/>
          <w:szCs w:val="21"/>
        </w:rPr>
        <w:t xml:space="preserve">	5</w:t>
      </w:r>
    </w:p>
    <w:p>
      <w:pPr>
        <w:tabs>
          <w:tab w:val="right" w:pos="9638" w:leader="dot"/>
        </w:tabs>
        <w:spacing w:after="30" w:before="0" w:line="252"/>
        <w:ind w:left="400"/>
      </w:pPr>
      <w:r>
        <w:rPr>
          <w:b w:val="false"/>
          <w:bCs w:val="false"/>
          <w:color w:val="5B6180"/>
          <w:sz w:val="19"/>
          <w:szCs w:val="19"/>
        </w:rPr>
        <w:t xml:space="preserve">1.1 A quem se destina</w:t>
      </w:r>
      <w:r>
        <w:rPr>
          <w:color w:val="5B6180"/>
          <w:sz w:val="19"/>
          <w:szCs w:val="19"/>
        </w:rPr>
        <w:t xml:space="preserve">	5</w:t>
      </w:r>
    </w:p>
    <w:p>
      <w:pPr>
        <w:tabs>
          <w:tab w:val="right" w:pos="9638" w:leader="dot"/>
        </w:tabs>
        <w:spacing w:after="30" w:before="0" w:line="252"/>
        <w:ind w:left="400"/>
      </w:pPr>
      <w:r>
        <w:rPr>
          <w:b w:val="false"/>
          <w:bCs w:val="false"/>
          <w:color w:val="5B6180"/>
          <w:sz w:val="19"/>
          <w:szCs w:val="19"/>
        </w:rPr>
        <w:t xml:space="preserve">1.2 Convenções</w:t>
      </w:r>
      <w:r>
        <w:rPr>
          <w:color w:val="5B6180"/>
          <w:sz w:val="19"/>
          <w:szCs w:val="19"/>
        </w:rPr>
        <w:t xml:space="preserve">	5</w:t>
      </w:r>
    </w:p>
    <w:p>
      <w:pPr>
        <w:tabs>
          <w:tab w:val="right" w:pos="9638" w:leader="dot"/>
        </w:tabs>
        <w:spacing w:after="30" w:before="0" w:line="252"/>
        <w:ind w:left="400"/>
      </w:pPr>
      <w:r>
        <w:rPr>
          <w:b w:val="false"/>
          <w:bCs w:val="false"/>
          <w:color w:val="5B6180"/>
          <w:sz w:val="19"/>
          <w:szCs w:val="19"/>
        </w:rPr>
        <w:t xml:space="preserve">1.3 Aviso importante</w:t>
      </w:r>
      <w:r>
        <w:rPr>
          <w:color w:val="5B6180"/>
          <w:sz w:val="19"/>
          <w:szCs w:val="19"/>
        </w:rPr>
        <w:t xml:space="preserve">	5</w:t>
      </w:r>
    </w:p>
    <w:p>
      <w:pPr>
        <w:tabs>
          <w:tab w:val="right" w:pos="9638" w:leader="dot"/>
        </w:tabs>
        <w:spacing w:after="30" w:before="120" w:line="252"/>
      </w:pPr>
      <w:r>
        <w:rPr>
          <w:b/>
          <w:bCs/>
          <w:color w:val="1B1F3B"/>
          <w:sz w:val="21"/>
          <w:szCs w:val="21"/>
        </w:rPr>
        <w:t xml:space="preserve">2. O que é o Balcão das Sucessões</w:t>
      </w:r>
      <w:r>
        <w:rPr>
          <w:color w:val="1B1F3B"/>
          <w:sz w:val="21"/>
          <w:szCs w:val="21"/>
        </w:rPr>
        <w:t xml:space="preserve">	6</w:t>
      </w:r>
    </w:p>
    <w:p>
      <w:pPr>
        <w:tabs>
          <w:tab w:val="right" w:pos="9638" w:leader="dot"/>
        </w:tabs>
        <w:spacing w:after="30" w:before="0" w:line="252"/>
        <w:ind w:left="400"/>
      </w:pPr>
      <w:r>
        <w:rPr>
          <w:b w:val="false"/>
          <w:bCs w:val="false"/>
          <w:color w:val="5B6180"/>
          <w:sz w:val="19"/>
          <w:szCs w:val="19"/>
        </w:rPr>
        <w:t xml:space="preserve">2.1 Princípios</w:t>
      </w:r>
      <w:r>
        <w:rPr>
          <w:color w:val="5B6180"/>
          <w:sz w:val="19"/>
          <w:szCs w:val="19"/>
        </w:rPr>
        <w:t xml:space="preserve">	6</w:t>
      </w:r>
    </w:p>
    <w:p>
      <w:pPr>
        <w:tabs>
          <w:tab w:val="right" w:pos="9638" w:leader="dot"/>
        </w:tabs>
        <w:spacing w:after="30" w:before="0" w:line="252"/>
        <w:ind w:left="400"/>
      </w:pPr>
      <w:r>
        <w:rPr>
          <w:b w:val="false"/>
          <w:bCs w:val="false"/>
          <w:color w:val="5B6180"/>
          <w:sz w:val="19"/>
          <w:szCs w:val="19"/>
        </w:rPr>
        <w:t xml:space="preserve">2.2 Vista rápida das funcionalidades</w:t>
      </w:r>
      <w:r>
        <w:rPr>
          <w:color w:val="5B6180"/>
          <w:sz w:val="19"/>
          <w:szCs w:val="19"/>
        </w:rPr>
        <w:t xml:space="preserve">	6</w:t>
      </w:r>
    </w:p>
    <w:p>
      <w:pPr>
        <w:tabs>
          <w:tab w:val="right" w:pos="9638" w:leader="dot"/>
        </w:tabs>
        <w:spacing w:after="30" w:before="120" w:line="252"/>
      </w:pPr>
      <w:r>
        <w:rPr>
          <w:b/>
          <w:bCs/>
          <w:color w:val="1B1F3B"/>
          <w:sz w:val="21"/>
          <w:szCs w:val="21"/>
        </w:rPr>
        <w:t xml:space="preserve">3. Começar</w:t>
      </w:r>
      <w:r>
        <w:rPr>
          <w:color w:val="1B1F3B"/>
          <w:sz w:val="21"/>
          <w:szCs w:val="21"/>
        </w:rPr>
        <w:t xml:space="preserve">	8</w:t>
      </w:r>
    </w:p>
    <w:p>
      <w:pPr>
        <w:tabs>
          <w:tab w:val="right" w:pos="9638" w:leader="dot"/>
        </w:tabs>
        <w:spacing w:after="30" w:before="0" w:line="252"/>
        <w:ind w:left="400"/>
      </w:pPr>
      <w:r>
        <w:rPr>
          <w:b w:val="false"/>
          <w:bCs w:val="false"/>
          <w:color w:val="5B6180"/>
          <w:sz w:val="19"/>
          <w:szCs w:val="19"/>
        </w:rPr>
        <w:t xml:space="preserve">3.1 Abrir a aplicação</w:t>
      </w:r>
      <w:r>
        <w:rPr>
          <w:color w:val="5B6180"/>
          <w:sz w:val="19"/>
          <w:szCs w:val="19"/>
        </w:rPr>
        <w:t xml:space="preserve">	8</w:t>
      </w:r>
    </w:p>
    <w:p>
      <w:pPr>
        <w:tabs>
          <w:tab w:val="right" w:pos="9638" w:leader="dot"/>
        </w:tabs>
        <w:spacing w:after="30" w:before="0" w:line="252"/>
        <w:ind w:left="400"/>
      </w:pPr>
      <w:r>
        <w:rPr>
          <w:b w:val="false"/>
          <w:bCs w:val="false"/>
          <w:color w:val="5B6180"/>
          <w:sz w:val="19"/>
          <w:szCs w:val="19"/>
        </w:rPr>
        <w:t xml:space="preserve">3.2 Instalar como aplicação</w:t>
      </w:r>
      <w:r>
        <w:rPr>
          <w:color w:val="5B6180"/>
          <w:sz w:val="19"/>
          <w:szCs w:val="19"/>
        </w:rPr>
        <w:t xml:space="preserve">	8</w:t>
      </w:r>
    </w:p>
    <w:p>
      <w:pPr>
        <w:tabs>
          <w:tab w:val="right" w:pos="9638" w:leader="dot"/>
        </w:tabs>
        <w:spacing w:after="30" w:before="0" w:line="252"/>
        <w:ind w:left="400"/>
      </w:pPr>
      <w:r>
        <w:rPr>
          <w:b w:val="false"/>
          <w:bCs w:val="false"/>
          <w:color w:val="5B6180"/>
          <w:sz w:val="19"/>
          <w:szCs w:val="19"/>
        </w:rPr>
        <w:t xml:space="preserve">3.3 Primeiro arranque: boas-vindas</w:t>
      </w:r>
      <w:r>
        <w:rPr>
          <w:color w:val="5B6180"/>
          <w:sz w:val="19"/>
          <w:szCs w:val="19"/>
        </w:rPr>
        <w:t xml:space="preserve">	8</w:t>
      </w:r>
    </w:p>
    <w:p>
      <w:pPr>
        <w:tabs>
          <w:tab w:val="right" w:pos="9638" w:leader="dot"/>
        </w:tabs>
        <w:spacing w:after="30" w:before="0" w:line="252"/>
        <w:ind w:left="400"/>
      </w:pPr>
      <w:r>
        <w:rPr>
          <w:b w:val="false"/>
          <w:bCs w:val="false"/>
          <w:color w:val="5B6180"/>
          <w:sz w:val="19"/>
          <w:szCs w:val="19"/>
        </w:rPr>
        <w:t xml:space="preserve">3.4 Navegar na aplicação</w:t>
      </w:r>
      <w:r>
        <w:rPr>
          <w:color w:val="5B6180"/>
          <w:sz w:val="19"/>
          <w:szCs w:val="19"/>
        </w:rPr>
        <w:t xml:space="preserve">	9</w:t>
      </w:r>
    </w:p>
    <w:p>
      <w:pPr>
        <w:tabs>
          <w:tab w:val="right" w:pos="9638" w:leader="dot"/>
        </w:tabs>
        <w:spacing w:after="30" w:before="120" w:line="252"/>
      </w:pPr>
      <w:r>
        <w:rPr>
          <w:b/>
          <w:bCs/>
          <w:color w:val="1B1F3B"/>
          <w:sz w:val="21"/>
          <w:szCs w:val="21"/>
        </w:rPr>
        <w:t xml:space="preserve">4. Visão geral (painel)</w:t>
      </w:r>
      <w:r>
        <w:rPr>
          <w:color w:val="1B1F3B"/>
          <w:sz w:val="21"/>
          <w:szCs w:val="21"/>
        </w:rPr>
        <w:t xml:space="preserve">	12</w:t>
      </w:r>
    </w:p>
    <w:p>
      <w:pPr>
        <w:tabs>
          <w:tab w:val="right" w:pos="9638" w:leader="dot"/>
        </w:tabs>
        <w:spacing w:after="30" w:before="120" w:line="252"/>
      </w:pPr>
      <w:r>
        <w:rPr>
          <w:b/>
          <w:bCs/>
          <w:color w:val="1B1F3B"/>
          <w:sz w:val="21"/>
          <w:szCs w:val="21"/>
        </w:rPr>
        <w:t xml:space="preserve">5. Dossiers</w:t>
      </w:r>
      <w:r>
        <w:rPr>
          <w:color w:val="1B1F3B"/>
          <w:sz w:val="21"/>
          <w:szCs w:val="21"/>
        </w:rPr>
        <w:t xml:space="preserve">	14</w:t>
      </w:r>
    </w:p>
    <w:p>
      <w:pPr>
        <w:tabs>
          <w:tab w:val="right" w:pos="9638" w:leader="dot"/>
        </w:tabs>
        <w:spacing w:after="30" w:before="0" w:line="252"/>
        <w:ind w:left="400"/>
      </w:pPr>
      <w:r>
        <w:rPr>
          <w:b w:val="false"/>
          <w:bCs w:val="false"/>
          <w:color w:val="5B6180"/>
          <w:sz w:val="19"/>
          <w:szCs w:val="19"/>
        </w:rPr>
        <w:t xml:space="preserve">5.1 Lista de dossiers</w:t>
      </w:r>
      <w:r>
        <w:rPr>
          <w:color w:val="5B6180"/>
          <w:sz w:val="19"/>
          <w:szCs w:val="19"/>
        </w:rPr>
        <w:t xml:space="preserve">	14</w:t>
      </w:r>
    </w:p>
    <w:p>
      <w:pPr>
        <w:tabs>
          <w:tab w:val="right" w:pos="9638" w:leader="dot"/>
        </w:tabs>
        <w:spacing w:after="30" w:before="0" w:line="252"/>
        <w:ind w:left="400"/>
      </w:pPr>
      <w:r>
        <w:rPr>
          <w:b w:val="false"/>
          <w:bCs w:val="false"/>
          <w:color w:val="5B6180"/>
          <w:sz w:val="19"/>
          <w:szCs w:val="19"/>
        </w:rPr>
        <w:t xml:space="preserve">5.2 Criar uma nova sucessão</w:t>
      </w:r>
      <w:r>
        <w:rPr>
          <w:color w:val="5B6180"/>
          <w:sz w:val="19"/>
          <w:szCs w:val="19"/>
        </w:rPr>
        <w:t xml:space="preserve">	15</w:t>
      </w:r>
    </w:p>
    <w:p>
      <w:pPr>
        <w:tabs>
          <w:tab w:val="right" w:pos="9638" w:leader="dot"/>
        </w:tabs>
        <w:spacing w:after="30" w:before="0" w:line="252"/>
        <w:ind w:left="400"/>
      </w:pPr>
      <w:r>
        <w:rPr>
          <w:b w:val="false"/>
          <w:bCs w:val="false"/>
          <w:color w:val="5B6180"/>
          <w:sz w:val="19"/>
          <w:szCs w:val="19"/>
        </w:rPr>
        <w:t xml:space="preserve">5.3 Ações sobre um dossier</w:t>
      </w:r>
      <w:r>
        <w:rPr>
          <w:color w:val="5B6180"/>
          <w:sz w:val="19"/>
          <w:szCs w:val="19"/>
        </w:rPr>
        <w:t xml:space="preserve">	17</w:t>
      </w:r>
    </w:p>
    <w:p>
      <w:pPr>
        <w:tabs>
          <w:tab w:val="right" w:pos="9638" w:leader="dot"/>
        </w:tabs>
        <w:spacing w:after="30" w:before="120" w:line="252"/>
      </w:pPr>
      <w:r>
        <w:rPr>
          <w:b/>
          <w:bCs/>
          <w:color w:val="1B1F3B"/>
          <w:sz w:val="21"/>
          <w:szCs w:val="21"/>
        </w:rPr>
        <w:t xml:space="preserve">6. Dentro do dossier</w:t>
      </w:r>
      <w:r>
        <w:rPr>
          <w:color w:val="1B1F3B"/>
          <w:sz w:val="21"/>
          <w:szCs w:val="21"/>
        </w:rPr>
        <w:t xml:space="preserve">	18</w:t>
      </w:r>
    </w:p>
    <w:p>
      <w:pPr>
        <w:tabs>
          <w:tab w:val="right" w:pos="9638" w:leader="dot"/>
        </w:tabs>
        <w:spacing w:after="30" w:before="0" w:line="252"/>
        <w:ind w:left="400"/>
      </w:pPr>
      <w:r>
        <w:rPr>
          <w:b w:val="false"/>
          <w:bCs w:val="false"/>
          <w:color w:val="5B6180"/>
          <w:sz w:val="19"/>
          <w:szCs w:val="19"/>
        </w:rPr>
        <w:t xml:space="preserve">6.1 Checklist</w:t>
      </w:r>
      <w:r>
        <w:rPr>
          <w:color w:val="5B6180"/>
          <w:sz w:val="19"/>
          <w:szCs w:val="19"/>
        </w:rPr>
        <w:t xml:space="preserve">	18</w:t>
      </w:r>
    </w:p>
    <w:p>
      <w:pPr>
        <w:tabs>
          <w:tab w:val="right" w:pos="9638" w:leader="dot"/>
        </w:tabs>
        <w:spacing w:after="30" w:before="0" w:line="252"/>
        <w:ind w:left="400"/>
      </w:pPr>
      <w:r>
        <w:rPr>
          <w:b w:val="false"/>
          <w:bCs w:val="false"/>
          <w:color w:val="5B6180"/>
          <w:sz w:val="19"/>
          <w:szCs w:val="19"/>
        </w:rPr>
        <w:t xml:space="preserve">6.2 A gaveta da tarefa</w:t>
      </w:r>
      <w:r>
        <w:rPr>
          <w:color w:val="5B6180"/>
          <w:sz w:val="19"/>
          <w:szCs w:val="19"/>
        </w:rPr>
        <w:t xml:space="preserve">	20</w:t>
      </w:r>
    </w:p>
    <w:p>
      <w:pPr>
        <w:tabs>
          <w:tab w:val="right" w:pos="9638" w:leader="dot"/>
        </w:tabs>
        <w:spacing w:after="30" w:before="0" w:line="252"/>
        <w:ind w:left="400"/>
      </w:pPr>
      <w:r>
        <w:rPr>
          <w:b w:val="false"/>
          <w:bCs w:val="false"/>
          <w:color w:val="5B6180"/>
          <w:sz w:val="19"/>
          <w:szCs w:val="19"/>
        </w:rPr>
        <w:t xml:space="preserve">6.3 Interessados</w:t>
      </w:r>
      <w:r>
        <w:rPr>
          <w:color w:val="5B6180"/>
          <w:sz w:val="19"/>
          <w:szCs w:val="19"/>
        </w:rPr>
        <w:t xml:space="preserve">	21</w:t>
      </w:r>
    </w:p>
    <w:p>
      <w:pPr>
        <w:tabs>
          <w:tab w:val="right" w:pos="9638" w:leader="dot"/>
        </w:tabs>
        <w:spacing w:after="30" w:before="0" w:line="252"/>
        <w:ind w:left="400"/>
      </w:pPr>
      <w:r>
        <w:rPr>
          <w:b w:val="false"/>
          <w:bCs w:val="false"/>
          <w:color w:val="5B6180"/>
          <w:sz w:val="19"/>
          <w:szCs w:val="19"/>
        </w:rPr>
        <w:t xml:space="preserve">6.4 Património e passivo</w:t>
      </w:r>
      <w:r>
        <w:rPr>
          <w:color w:val="5B6180"/>
          <w:sz w:val="19"/>
          <w:szCs w:val="19"/>
        </w:rPr>
        <w:t xml:space="preserve">	22</w:t>
      </w:r>
    </w:p>
    <w:p>
      <w:pPr>
        <w:tabs>
          <w:tab w:val="right" w:pos="9638" w:leader="dot"/>
        </w:tabs>
        <w:spacing w:after="30" w:before="0" w:line="252"/>
        <w:ind w:left="400"/>
      </w:pPr>
      <w:r>
        <w:rPr>
          <w:b w:val="false"/>
          <w:bCs w:val="false"/>
          <w:color w:val="5B6180"/>
          <w:sz w:val="19"/>
          <w:szCs w:val="19"/>
        </w:rPr>
        <w:t xml:space="preserve">6.5 Documentos</w:t>
      </w:r>
      <w:r>
        <w:rPr>
          <w:color w:val="5B6180"/>
          <w:sz w:val="19"/>
          <w:szCs w:val="19"/>
        </w:rPr>
        <w:t xml:space="preserve">	23</w:t>
      </w:r>
    </w:p>
    <w:p>
      <w:pPr>
        <w:tabs>
          <w:tab w:val="right" w:pos="9638" w:leader="dot"/>
        </w:tabs>
        <w:spacing w:after="30" w:before="0" w:line="252"/>
        <w:ind w:left="400"/>
      </w:pPr>
      <w:r>
        <w:rPr>
          <w:b w:val="false"/>
          <w:bCs w:val="false"/>
          <w:color w:val="5B6180"/>
          <w:sz w:val="19"/>
          <w:szCs w:val="19"/>
        </w:rPr>
        <w:t xml:space="preserve">6.6 Quotas</w:t>
      </w:r>
      <w:r>
        <w:rPr>
          <w:color w:val="5B6180"/>
          <w:sz w:val="19"/>
          <w:szCs w:val="19"/>
        </w:rPr>
        <w:t xml:space="preserve">	24</w:t>
      </w:r>
    </w:p>
    <w:p>
      <w:pPr>
        <w:tabs>
          <w:tab w:val="right" w:pos="9638" w:leader="dot"/>
        </w:tabs>
        <w:spacing w:after="30" w:before="0" w:line="252"/>
        <w:ind w:left="400"/>
      </w:pPr>
      <w:r>
        <w:rPr>
          <w:b w:val="false"/>
          <w:bCs w:val="false"/>
          <w:color w:val="5B6180"/>
          <w:sz w:val="19"/>
          <w:szCs w:val="19"/>
        </w:rPr>
        <w:t xml:space="preserve">6.7 Internacional</w:t>
      </w:r>
      <w:r>
        <w:rPr>
          <w:color w:val="5B6180"/>
          <w:sz w:val="19"/>
          <w:szCs w:val="19"/>
        </w:rPr>
        <w:t xml:space="preserve">	25</w:t>
      </w:r>
    </w:p>
    <w:p>
      <w:pPr>
        <w:tabs>
          <w:tab w:val="right" w:pos="9638" w:leader="dot"/>
        </w:tabs>
        <w:spacing w:after="30" w:before="0" w:line="252"/>
        <w:ind w:left="400"/>
      </w:pPr>
      <w:r>
        <w:rPr>
          <w:b w:val="false"/>
          <w:bCs w:val="false"/>
          <w:color w:val="5B6180"/>
          <w:sz w:val="19"/>
          <w:szCs w:val="19"/>
        </w:rPr>
        <w:t xml:space="preserve">6.8 Agenda do dossier</w:t>
      </w:r>
      <w:r>
        <w:rPr>
          <w:color w:val="5B6180"/>
          <w:sz w:val="19"/>
          <w:szCs w:val="19"/>
        </w:rPr>
        <w:t xml:space="preserve">	26</w:t>
      </w:r>
    </w:p>
    <w:p>
      <w:pPr>
        <w:tabs>
          <w:tab w:val="right" w:pos="9638" w:leader="dot"/>
        </w:tabs>
        <w:spacing w:after="30" w:before="0" w:line="252"/>
        <w:ind w:left="400"/>
      </w:pPr>
      <w:r>
        <w:rPr>
          <w:b w:val="false"/>
          <w:bCs w:val="false"/>
          <w:color w:val="5B6180"/>
          <w:sz w:val="19"/>
          <w:szCs w:val="19"/>
        </w:rPr>
        <w:t xml:space="preserve">6.9 Notas &amp; contactos</w:t>
      </w:r>
      <w:r>
        <w:rPr>
          <w:color w:val="5B6180"/>
          <w:sz w:val="19"/>
          <w:szCs w:val="19"/>
        </w:rPr>
        <w:t xml:space="preserve">	27</w:t>
      </w:r>
    </w:p>
    <w:p>
      <w:pPr>
        <w:tabs>
          <w:tab w:val="right" w:pos="9638" w:leader="dot"/>
        </w:tabs>
        <w:spacing w:after="30" w:before="0" w:line="252"/>
        <w:ind w:left="400"/>
      </w:pPr>
      <w:r>
        <w:rPr>
          <w:b w:val="false"/>
          <w:bCs w:val="false"/>
          <w:color w:val="5B6180"/>
          <w:sz w:val="19"/>
          <w:szCs w:val="19"/>
        </w:rPr>
        <w:t xml:space="preserve">6.10 Questionário</w:t>
      </w:r>
      <w:r>
        <w:rPr>
          <w:color w:val="5B6180"/>
          <w:sz w:val="19"/>
          <w:szCs w:val="19"/>
        </w:rPr>
        <w:t xml:space="preserve">	28</w:t>
      </w:r>
    </w:p>
    <w:p>
      <w:pPr>
        <w:tabs>
          <w:tab w:val="right" w:pos="9638" w:leader="dot"/>
        </w:tabs>
        <w:spacing w:after="30" w:before="0" w:line="252"/>
        <w:ind w:left="400"/>
      </w:pPr>
      <w:r>
        <w:rPr>
          <w:b w:val="false"/>
          <w:bCs w:val="false"/>
          <w:color w:val="5B6180"/>
          <w:sz w:val="19"/>
          <w:szCs w:val="19"/>
        </w:rPr>
        <w:t xml:space="preserve">6.11 Histórico</w:t>
      </w:r>
      <w:r>
        <w:rPr>
          <w:color w:val="5B6180"/>
          <w:sz w:val="19"/>
          <w:szCs w:val="19"/>
        </w:rPr>
        <w:t xml:space="preserve">	29</w:t>
      </w:r>
    </w:p>
    <w:p>
      <w:pPr>
        <w:tabs>
          <w:tab w:val="right" w:pos="9638" w:leader="dot"/>
        </w:tabs>
        <w:spacing w:after="30" w:before="120" w:line="252"/>
      </w:pPr>
      <w:r>
        <w:rPr>
          <w:b/>
          <w:bCs/>
          <w:color w:val="1B1F3B"/>
          <w:sz w:val="21"/>
          <w:szCs w:val="21"/>
        </w:rPr>
        <w:t xml:space="preserve">7. O que está a bloquear?</w:t>
      </w:r>
      <w:r>
        <w:rPr>
          <w:color w:val="1B1F3B"/>
          <w:sz w:val="21"/>
          <w:szCs w:val="21"/>
        </w:rPr>
        <w:t xml:space="preserve">	30</w:t>
      </w:r>
    </w:p>
    <w:p>
      <w:pPr>
        <w:tabs>
          <w:tab w:val="right" w:pos="9638" w:leader="dot"/>
        </w:tabs>
        <w:spacing w:after="30" w:before="120" w:line="252"/>
      </w:pPr>
      <w:r>
        <w:rPr>
          <w:b/>
          <w:bCs/>
          <w:color w:val="1B1F3B"/>
          <w:sz w:val="21"/>
          <w:szCs w:val="21"/>
        </w:rPr>
        <w:t xml:space="preserve">8. Relatórios do dossier</w:t>
      </w:r>
      <w:r>
        <w:rPr>
          <w:color w:val="1B1F3B"/>
          <w:sz w:val="21"/>
          <w:szCs w:val="21"/>
        </w:rPr>
        <w:t xml:space="preserve">	31</w:t>
      </w:r>
    </w:p>
    <w:p>
      <w:pPr>
        <w:tabs>
          <w:tab w:val="right" w:pos="9638" w:leader="dot"/>
        </w:tabs>
        <w:spacing w:after="30" w:before="0" w:line="252"/>
        <w:ind w:left="400"/>
      </w:pPr>
      <w:r>
        <w:rPr>
          <w:b w:val="false"/>
          <w:bCs w:val="false"/>
          <w:color w:val="5B6180"/>
          <w:sz w:val="19"/>
          <w:szCs w:val="19"/>
        </w:rPr>
        <w:t xml:space="preserve">8.1 Exportação CSV</w:t>
      </w:r>
      <w:r>
        <w:rPr>
          <w:color w:val="5B6180"/>
          <w:sz w:val="19"/>
          <w:szCs w:val="19"/>
        </w:rPr>
        <w:t xml:space="preserve">	32</w:t>
      </w:r>
    </w:p>
    <w:p>
      <w:pPr>
        <w:tabs>
          <w:tab w:val="right" w:pos="9638" w:leader="dot"/>
        </w:tabs>
        <w:spacing w:after="30" w:before="120" w:line="252"/>
      </w:pPr>
      <w:r>
        <w:rPr>
          <w:b/>
          <w:bCs/>
          <w:color w:val="1B1F3B"/>
          <w:sz w:val="21"/>
          <w:szCs w:val="21"/>
        </w:rPr>
        <w:t xml:space="preserve">9. Agenda, prazos e lembretes</w:t>
      </w:r>
      <w:r>
        <w:rPr>
          <w:color w:val="1B1F3B"/>
          <w:sz w:val="21"/>
          <w:szCs w:val="21"/>
        </w:rPr>
        <w:t xml:space="preserve">	33</w:t>
      </w:r>
    </w:p>
    <w:p>
      <w:pPr>
        <w:tabs>
          <w:tab w:val="right" w:pos="9638" w:leader="dot"/>
        </w:tabs>
        <w:spacing w:after="30" w:before="0" w:line="252"/>
        <w:ind w:left="400"/>
      </w:pPr>
      <w:r>
        <w:rPr>
          <w:b w:val="false"/>
          <w:bCs w:val="false"/>
          <w:color w:val="5B6180"/>
          <w:sz w:val="19"/>
          <w:szCs w:val="19"/>
        </w:rPr>
        <w:t xml:space="preserve">9.1 Vistas e filtros</w:t>
      </w:r>
      <w:r>
        <w:rPr>
          <w:color w:val="5B6180"/>
          <w:sz w:val="19"/>
          <w:szCs w:val="19"/>
        </w:rPr>
        <w:t xml:space="preserve">	33</w:t>
      </w:r>
    </w:p>
    <w:p>
      <w:pPr>
        <w:tabs>
          <w:tab w:val="right" w:pos="9638" w:leader="dot"/>
        </w:tabs>
        <w:spacing w:after="30" w:before="0" w:line="252"/>
        <w:ind w:left="400"/>
      </w:pPr>
      <w:r>
        <w:rPr>
          <w:b w:val="false"/>
          <w:bCs w:val="false"/>
          <w:color w:val="5B6180"/>
          <w:sz w:val="19"/>
          <w:szCs w:val="19"/>
        </w:rPr>
        <w:t xml:space="preserve">9.2 Eventos</w:t>
      </w:r>
      <w:r>
        <w:rPr>
          <w:color w:val="5B6180"/>
          <w:sz w:val="19"/>
          <w:szCs w:val="19"/>
        </w:rPr>
        <w:t xml:space="preserve">	33</w:t>
      </w:r>
    </w:p>
    <w:p>
      <w:pPr>
        <w:tabs>
          <w:tab w:val="right" w:pos="9638" w:leader="dot"/>
        </w:tabs>
        <w:spacing w:after="30" w:before="0" w:line="252"/>
        <w:ind w:left="400"/>
      </w:pPr>
      <w:r>
        <w:rPr>
          <w:b w:val="false"/>
          <w:bCs w:val="false"/>
          <w:color w:val="5B6180"/>
          <w:sz w:val="19"/>
          <w:szCs w:val="19"/>
        </w:rPr>
        <w:t xml:space="preserve">9.3 Calendário português</w:t>
      </w:r>
      <w:r>
        <w:rPr>
          <w:color w:val="5B6180"/>
          <w:sz w:val="19"/>
          <w:szCs w:val="19"/>
        </w:rPr>
        <w:t xml:space="preserve">	33</w:t>
      </w:r>
    </w:p>
    <w:p>
      <w:pPr>
        <w:tabs>
          <w:tab w:val="right" w:pos="9638" w:leader="dot"/>
        </w:tabs>
        <w:spacing w:after="30" w:before="0" w:line="252"/>
        <w:ind w:left="400"/>
      </w:pPr>
      <w:r>
        <w:rPr>
          <w:b w:val="false"/>
          <w:bCs w:val="false"/>
          <w:color w:val="5B6180"/>
          <w:sz w:val="19"/>
          <w:szCs w:val="19"/>
        </w:rPr>
        <w:t xml:space="preserve">9.4 Prazos calculados automaticamente</w:t>
      </w:r>
      <w:r>
        <w:rPr>
          <w:color w:val="5B6180"/>
          <w:sz w:val="19"/>
          <w:szCs w:val="19"/>
        </w:rPr>
        <w:t xml:space="preserve">	34</w:t>
      </w:r>
    </w:p>
    <w:p>
      <w:pPr>
        <w:tabs>
          <w:tab w:val="right" w:pos="9638" w:leader="dot"/>
        </w:tabs>
        <w:spacing w:after="30" w:before="0" w:line="252"/>
        <w:ind w:left="400"/>
      </w:pPr>
      <w:r>
        <w:rPr>
          <w:b w:val="false"/>
          <w:bCs w:val="false"/>
          <w:color w:val="5B6180"/>
          <w:sz w:val="19"/>
          <w:szCs w:val="19"/>
        </w:rPr>
        <w:t xml:space="preserve">9.5 Exportar para o calendário (.ics)</w:t>
      </w:r>
      <w:r>
        <w:rPr>
          <w:color w:val="5B6180"/>
          <w:sz w:val="19"/>
          <w:szCs w:val="19"/>
        </w:rPr>
        <w:t xml:space="preserve">	34</w:t>
      </w:r>
    </w:p>
    <w:p>
      <w:pPr>
        <w:tabs>
          <w:tab w:val="right" w:pos="9638" w:leader="dot"/>
        </w:tabs>
        <w:spacing w:after="30" w:before="0" w:line="252"/>
        <w:ind w:left="400"/>
      </w:pPr>
      <w:r>
        <w:rPr>
          <w:b w:val="false"/>
          <w:bCs w:val="false"/>
          <w:color w:val="5B6180"/>
          <w:sz w:val="19"/>
          <w:szCs w:val="19"/>
        </w:rPr>
        <w:t xml:space="preserve">9.6 Lembretes e notificações</w:t>
      </w:r>
      <w:r>
        <w:rPr>
          <w:color w:val="5B6180"/>
          <w:sz w:val="19"/>
          <w:szCs w:val="19"/>
        </w:rPr>
        <w:t xml:space="preserve">	34</w:t>
      </w:r>
    </w:p>
    <w:p>
      <w:pPr>
        <w:tabs>
          <w:tab w:val="right" w:pos="9638" w:leader="dot"/>
        </w:tabs>
        <w:spacing w:after="30" w:before="120" w:line="252"/>
      </w:pPr>
      <w:r>
        <w:rPr>
          <w:b/>
          <w:bCs/>
          <w:color w:val="1B1F3B"/>
          <w:sz w:val="21"/>
          <w:szCs w:val="21"/>
        </w:rPr>
        <w:t xml:space="preserve">10. Calculadora sucessória</w:t>
      </w:r>
      <w:r>
        <w:rPr>
          <w:color w:val="1B1F3B"/>
          <w:sz w:val="21"/>
          <w:szCs w:val="21"/>
        </w:rPr>
        <w:t xml:space="preserve">	35</w:t>
      </w:r>
    </w:p>
    <w:p>
      <w:pPr>
        <w:tabs>
          <w:tab w:val="right" w:pos="9638" w:leader="dot"/>
        </w:tabs>
        <w:spacing w:after="30" w:before="0" w:line="252"/>
        <w:ind w:left="400"/>
      </w:pPr>
      <w:r>
        <w:rPr>
          <w:b w:val="false"/>
          <w:bCs w:val="false"/>
          <w:color w:val="5B6180"/>
          <w:sz w:val="19"/>
          <w:szCs w:val="19"/>
        </w:rPr>
        <w:t xml:space="preserve">10.1 Entradas</w:t>
      </w:r>
      <w:r>
        <w:rPr>
          <w:color w:val="5B6180"/>
          <w:sz w:val="19"/>
          <w:szCs w:val="19"/>
        </w:rPr>
        <w:t xml:space="preserve">	35</w:t>
      </w:r>
    </w:p>
    <w:p>
      <w:pPr>
        <w:tabs>
          <w:tab w:val="right" w:pos="9638" w:leader="dot"/>
        </w:tabs>
        <w:spacing w:after="30" w:before="0" w:line="252"/>
        <w:ind w:left="400"/>
      </w:pPr>
      <w:r>
        <w:rPr>
          <w:b w:val="false"/>
          <w:bCs w:val="false"/>
          <w:color w:val="5B6180"/>
          <w:sz w:val="19"/>
          <w:szCs w:val="19"/>
        </w:rPr>
        <w:t xml:space="preserve">10.2 Resultados</w:t>
      </w:r>
      <w:r>
        <w:rPr>
          <w:color w:val="5B6180"/>
          <w:sz w:val="19"/>
          <w:szCs w:val="19"/>
        </w:rPr>
        <w:t xml:space="preserve">	35</w:t>
      </w:r>
    </w:p>
    <w:p>
      <w:pPr>
        <w:tabs>
          <w:tab w:val="right" w:pos="9638" w:leader="dot"/>
        </w:tabs>
        <w:spacing w:after="30" w:before="0" w:line="252"/>
        <w:ind w:left="400"/>
      </w:pPr>
      <w:r>
        <w:rPr>
          <w:b w:val="false"/>
          <w:bCs w:val="false"/>
          <w:color w:val="5B6180"/>
          <w:sz w:val="19"/>
          <w:szCs w:val="19"/>
        </w:rPr>
        <w:t xml:space="preserve">10.3 Exemplos, dossiers e impressão</w:t>
      </w:r>
      <w:r>
        <w:rPr>
          <w:color w:val="5B6180"/>
          <w:sz w:val="19"/>
          <w:szCs w:val="19"/>
        </w:rPr>
        <w:t xml:space="preserve">	36</w:t>
      </w:r>
    </w:p>
    <w:p>
      <w:pPr>
        <w:tabs>
          <w:tab w:val="right" w:pos="9638" w:leader="dot"/>
        </w:tabs>
        <w:spacing w:after="30" w:before="120" w:line="252"/>
      </w:pPr>
      <w:r>
        <w:rPr>
          <w:b/>
          <w:bCs/>
          <w:color w:val="1B1F3B"/>
          <w:sz w:val="21"/>
          <w:szCs w:val="21"/>
        </w:rPr>
        <w:t xml:space="preserve">11. Minutas</w:t>
      </w:r>
      <w:r>
        <w:rPr>
          <w:color w:val="1B1F3B"/>
          <w:sz w:val="21"/>
          <w:szCs w:val="21"/>
        </w:rPr>
        <w:t xml:space="preserve">	38</w:t>
      </w:r>
    </w:p>
    <w:p>
      <w:pPr>
        <w:tabs>
          <w:tab w:val="right" w:pos="9638" w:leader="dot"/>
        </w:tabs>
        <w:spacing w:after="30" w:before="0" w:line="252"/>
        <w:ind w:left="400"/>
      </w:pPr>
      <w:r>
        <w:rPr>
          <w:b w:val="false"/>
          <w:bCs w:val="false"/>
          <w:color w:val="5B6180"/>
          <w:sz w:val="19"/>
          <w:szCs w:val="19"/>
        </w:rPr>
        <w:t xml:space="preserve">11.1 Minutas-base</w:t>
      </w:r>
      <w:r>
        <w:rPr>
          <w:color w:val="5B6180"/>
          <w:sz w:val="19"/>
          <w:szCs w:val="19"/>
        </w:rPr>
        <w:t xml:space="preserve">	38</w:t>
      </w:r>
    </w:p>
    <w:p>
      <w:pPr>
        <w:tabs>
          <w:tab w:val="right" w:pos="9638" w:leader="dot"/>
        </w:tabs>
        <w:spacing w:after="30" w:before="0" w:line="252"/>
        <w:ind w:left="400"/>
      </w:pPr>
      <w:r>
        <w:rPr>
          <w:b w:val="false"/>
          <w:bCs w:val="false"/>
          <w:color w:val="5B6180"/>
          <w:sz w:val="19"/>
          <w:szCs w:val="19"/>
        </w:rPr>
        <w:t xml:space="preserve">11.2 Compositor</w:t>
      </w:r>
      <w:r>
        <w:rPr>
          <w:color w:val="5B6180"/>
          <w:sz w:val="19"/>
          <w:szCs w:val="19"/>
        </w:rPr>
        <w:t xml:space="preserve">	39</w:t>
      </w:r>
    </w:p>
    <w:p>
      <w:pPr>
        <w:tabs>
          <w:tab w:val="right" w:pos="9638" w:leader="dot"/>
        </w:tabs>
        <w:spacing w:after="30" w:before="0" w:line="252"/>
        <w:ind w:left="400"/>
      </w:pPr>
      <w:r>
        <w:rPr>
          <w:b w:val="false"/>
          <w:bCs w:val="false"/>
          <w:color w:val="5B6180"/>
          <w:sz w:val="19"/>
          <w:szCs w:val="19"/>
        </w:rPr>
        <w:t xml:space="preserve">11.3 Minutas do escritório</w:t>
      </w:r>
      <w:r>
        <w:rPr>
          <w:color w:val="5B6180"/>
          <w:sz w:val="19"/>
          <w:szCs w:val="19"/>
        </w:rPr>
        <w:t xml:space="preserve">	40</w:t>
      </w:r>
    </w:p>
    <w:p>
      <w:pPr>
        <w:tabs>
          <w:tab w:val="right" w:pos="9638" w:leader="dot"/>
        </w:tabs>
        <w:spacing w:after="30" w:before="120" w:line="252"/>
      </w:pPr>
      <w:r>
        <w:rPr>
          <w:b/>
          <w:bCs/>
          <w:color w:val="1B1F3B"/>
          <w:sz w:val="21"/>
          <w:szCs w:val="21"/>
        </w:rPr>
        <w:t xml:space="preserve">12. Produtividade</w:t>
      </w:r>
      <w:r>
        <w:rPr>
          <w:color w:val="1B1F3B"/>
          <w:sz w:val="21"/>
          <w:szCs w:val="21"/>
        </w:rPr>
        <w:t xml:space="preserve">	41</w:t>
      </w:r>
    </w:p>
    <w:p>
      <w:pPr>
        <w:tabs>
          <w:tab w:val="right" w:pos="9638" w:leader="dot"/>
        </w:tabs>
        <w:spacing w:after="30" w:before="0" w:line="252"/>
        <w:ind w:left="400"/>
      </w:pPr>
      <w:r>
        <w:rPr>
          <w:b w:val="false"/>
          <w:bCs w:val="false"/>
          <w:color w:val="5B6180"/>
          <w:sz w:val="19"/>
          <w:szCs w:val="19"/>
        </w:rPr>
        <w:t xml:space="preserve">12.1 As minhas tarefas</w:t>
      </w:r>
      <w:r>
        <w:rPr>
          <w:color w:val="5B6180"/>
          <w:sz w:val="19"/>
          <w:szCs w:val="19"/>
        </w:rPr>
        <w:t xml:space="preserve">	41</w:t>
      </w:r>
    </w:p>
    <w:p>
      <w:pPr>
        <w:tabs>
          <w:tab w:val="right" w:pos="9638" w:leader="dot"/>
        </w:tabs>
        <w:spacing w:after="30" w:before="0" w:line="252"/>
        <w:ind w:left="400"/>
      </w:pPr>
      <w:r>
        <w:rPr>
          <w:b w:val="false"/>
          <w:bCs w:val="false"/>
          <w:color w:val="5B6180"/>
          <w:sz w:val="19"/>
          <w:szCs w:val="19"/>
        </w:rPr>
        <w:t xml:space="preserve">12.2 Paleta de comandos, quadros e modelos</w:t>
      </w:r>
      <w:r>
        <w:rPr>
          <w:color w:val="5B6180"/>
          <w:sz w:val="19"/>
          <w:szCs w:val="19"/>
        </w:rPr>
        <w:t xml:space="preserve">	41</w:t>
      </w:r>
    </w:p>
    <w:p>
      <w:pPr>
        <w:tabs>
          <w:tab w:val="right" w:pos="9638" w:leader="dot"/>
        </w:tabs>
        <w:spacing w:after="30" w:before="120" w:line="252"/>
      </w:pPr>
      <w:r>
        <w:rPr>
          <w:b/>
          <w:bCs/>
          <w:color w:val="1B1F3B"/>
          <w:sz w:val="21"/>
          <w:szCs w:val="21"/>
        </w:rPr>
        <w:t xml:space="preserve">13. Segurança e privacidade</w:t>
      </w:r>
      <w:r>
        <w:rPr>
          <w:color w:val="1B1F3B"/>
          <w:sz w:val="21"/>
          <w:szCs w:val="21"/>
        </w:rPr>
        <w:t xml:space="preserve">	42</w:t>
      </w:r>
    </w:p>
    <w:p>
      <w:pPr>
        <w:tabs>
          <w:tab w:val="right" w:pos="9638" w:leader="dot"/>
        </w:tabs>
        <w:spacing w:after="30" w:before="0" w:line="252"/>
        <w:ind w:left="400"/>
      </w:pPr>
      <w:r>
        <w:rPr>
          <w:b w:val="false"/>
          <w:bCs w:val="false"/>
          <w:color w:val="5B6180"/>
          <w:sz w:val="19"/>
          <w:szCs w:val="19"/>
        </w:rPr>
        <w:t xml:space="preserve">13.1 Bloqueio por PIN</w:t>
      </w:r>
      <w:r>
        <w:rPr>
          <w:color w:val="5B6180"/>
          <w:sz w:val="19"/>
          <w:szCs w:val="19"/>
        </w:rPr>
        <w:t xml:space="preserve">	42</w:t>
      </w:r>
    </w:p>
    <w:p>
      <w:pPr>
        <w:tabs>
          <w:tab w:val="right" w:pos="9638" w:leader="dot"/>
        </w:tabs>
        <w:spacing w:after="30" w:before="0" w:line="252"/>
        <w:ind w:left="400"/>
      </w:pPr>
      <w:r>
        <w:rPr>
          <w:b w:val="false"/>
          <w:bCs w:val="false"/>
          <w:color w:val="5B6180"/>
          <w:sz w:val="19"/>
          <w:szCs w:val="19"/>
        </w:rPr>
        <w:t xml:space="preserve">13.2 Cópias de segurança cifradas</w:t>
      </w:r>
      <w:r>
        <w:rPr>
          <w:color w:val="5B6180"/>
          <w:sz w:val="19"/>
          <w:szCs w:val="19"/>
        </w:rPr>
        <w:t xml:space="preserve">	43</w:t>
      </w:r>
    </w:p>
    <w:p>
      <w:pPr>
        <w:tabs>
          <w:tab w:val="right" w:pos="9638" w:leader="dot"/>
        </w:tabs>
        <w:spacing w:after="30" w:before="0" w:line="252"/>
        <w:ind w:left="400"/>
      </w:pPr>
      <w:r>
        <w:rPr>
          <w:b w:val="false"/>
          <w:bCs w:val="false"/>
          <w:color w:val="5B6180"/>
          <w:sz w:val="19"/>
          <w:szCs w:val="19"/>
        </w:rPr>
        <w:t xml:space="preserve">13.3 Modo privacidade</w:t>
      </w:r>
      <w:r>
        <w:rPr>
          <w:color w:val="5B6180"/>
          <w:sz w:val="19"/>
          <w:szCs w:val="19"/>
        </w:rPr>
        <w:t xml:space="preserve">	44</w:t>
      </w:r>
    </w:p>
    <w:p>
      <w:pPr>
        <w:tabs>
          <w:tab w:val="right" w:pos="9638" w:leader="dot"/>
        </w:tabs>
        <w:spacing w:after="30" w:before="0" w:line="252"/>
        <w:ind w:left="400"/>
      </w:pPr>
      <w:r>
        <w:rPr>
          <w:b w:val="false"/>
          <w:bCs w:val="false"/>
          <w:color w:val="5B6180"/>
          <w:sz w:val="19"/>
          <w:szCs w:val="19"/>
        </w:rPr>
        <w:t xml:space="preserve">13.4 Importar do protótipo original</w:t>
      </w:r>
      <w:r>
        <w:rPr>
          <w:color w:val="5B6180"/>
          <w:sz w:val="19"/>
          <w:szCs w:val="19"/>
        </w:rPr>
        <w:t xml:space="preserve">	44</w:t>
      </w:r>
    </w:p>
    <w:p>
      <w:pPr>
        <w:tabs>
          <w:tab w:val="right" w:pos="9638" w:leader="dot"/>
        </w:tabs>
        <w:spacing w:after="30" w:before="0" w:line="252"/>
        <w:ind w:left="400"/>
      </w:pPr>
      <w:r>
        <w:rPr>
          <w:b w:val="false"/>
          <w:bCs w:val="false"/>
          <w:color w:val="5B6180"/>
          <w:sz w:val="19"/>
          <w:szCs w:val="19"/>
        </w:rPr>
        <w:t xml:space="preserve">13.5 Outras proteções</w:t>
      </w:r>
      <w:r>
        <w:rPr>
          <w:color w:val="5B6180"/>
          <w:sz w:val="19"/>
          <w:szCs w:val="19"/>
        </w:rPr>
        <w:t xml:space="preserve">	44</w:t>
      </w:r>
    </w:p>
    <w:p>
      <w:pPr>
        <w:tabs>
          <w:tab w:val="right" w:pos="9638" w:leader="dot"/>
        </w:tabs>
        <w:spacing w:after="30" w:before="120" w:line="252"/>
      </w:pPr>
      <w:r>
        <w:rPr>
          <w:b/>
          <w:bCs/>
          <w:color w:val="1B1F3B"/>
          <w:sz w:val="21"/>
          <w:szCs w:val="21"/>
        </w:rPr>
        <w:t xml:space="preserve">14. Definições</w:t>
      </w:r>
      <w:r>
        <w:rPr>
          <w:color w:val="1B1F3B"/>
          <w:sz w:val="21"/>
          <w:szCs w:val="21"/>
        </w:rPr>
        <w:t xml:space="preserve">	45</w:t>
      </w:r>
    </w:p>
    <w:p>
      <w:pPr>
        <w:tabs>
          <w:tab w:val="right" w:pos="9638" w:leader="dot"/>
        </w:tabs>
        <w:spacing w:after="30" w:before="0" w:line="252"/>
        <w:ind w:left="400"/>
      </w:pPr>
      <w:r>
        <w:rPr>
          <w:b w:val="false"/>
          <w:bCs w:val="false"/>
          <w:color w:val="5B6180"/>
          <w:sz w:val="19"/>
          <w:szCs w:val="19"/>
        </w:rPr>
        <w:t xml:space="preserve">14.1 Cópias de segurança</w:t>
      </w:r>
      <w:r>
        <w:rPr>
          <w:color w:val="5B6180"/>
          <w:sz w:val="19"/>
          <w:szCs w:val="19"/>
        </w:rPr>
        <w:t xml:space="preserve">	46</w:t>
      </w:r>
    </w:p>
    <w:p>
      <w:pPr>
        <w:tabs>
          <w:tab w:val="right" w:pos="9638" w:leader="dot"/>
        </w:tabs>
        <w:spacing w:after="30" w:before="120" w:line="252"/>
      </w:pPr>
      <w:r>
        <w:rPr>
          <w:b/>
          <w:bCs/>
          <w:color w:val="1B1F3B"/>
          <w:sz w:val="21"/>
          <w:szCs w:val="21"/>
        </w:rPr>
        <w:t xml:space="preserve">15. Trabalhar sem internet e atualizar</w:t>
      </w:r>
      <w:r>
        <w:rPr>
          <w:color w:val="1B1F3B"/>
          <w:sz w:val="21"/>
          <w:szCs w:val="21"/>
        </w:rPr>
        <w:t xml:space="preserve">	47</w:t>
      </w:r>
    </w:p>
    <w:p>
      <w:pPr>
        <w:tabs>
          <w:tab w:val="right" w:pos="9638" w:leader="dot"/>
        </w:tabs>
        <w:spacing w:after="30" w:before="120" w:line="252"/>
      </w:pPr>
      <w:r>
        <w:rPr>
          <w:b/>
          <w:bCs/>
          <w:color w:val="1B1F3B"/>
          <w:sz w:val="21"/>
          <w:szCs w:val="21"/>
        </w:rPr>
        <w:t xml:space="preserve">16. No telemóvel e no tablet</w:t>
      </w:r>
      <w:r>
        <w:rPr>
          <w:color w:val="1B1F3B"/>
          <w:sz w:val="21"/>
          <w:szCs w:val="21"/>
        </w:rPr>
        <w:t xml:space="preserve">	48</w:t>
      </w:r>
    </w:p>
    <w:p>
      <w:pPr>
        <w:tabs>
          <w:tab w:val="right" w:pos="9638" w:leader="dot"/>
        </w:tabs>
        <w:spacing w:after="30" w:before="120" w:line="252"/>
      </w:pPr>
      <w:r>
        <w:rPr>
          <w:b/>
          <w:bCs/>
          <w:color w:val="1B1F3B"/>
          <w:sz w:val="21"/>
          <w:szCs w:val="21"/>
        </w:rPr>
        <w:t xml:space="preserve">17. Onde ficam os dados</w:t>
      </w:r>
      <w:r>
        <w:rPr>
          <w:color w:val="1B1F3B"/>
          <w:sz w:val="21"/>
          <w:szCs w:val="21"/>
        </w:rPr>
        <w:t xml:space="preserve">	49</w:t>
      </w:r>
    </w:p>
    <w:p>
      <w:pPr>
        <w:tabs>
          <w:tab w:val="right" w:pos="9638" w:leader="dot"/>
        </w:tabs>
        <w:spacing w:after="30" w:before="120" w:line="252"/>
      </w:pPr>
      <w:r>
        <w:rPr>
          <w:b/>
          <w:bCs/>
          <w:color w:val="1B1F3B"/>
          <w:sz w:val="21"/>
          <w:szCs w:val="21"/>
        </w:rPr>
        <w:t xml:space="preserve">19. Calculadora de prazos</w:t>
      </w:r>
      <w:r>
        <w:rPr>
          <w:color w:val="1B1F3B"/>
          <w:sz w:val="21"/>
          <w:szCs w:val="21"/>
        </w:rPr>
        <w:t xml:space="preserve">	50</w:t>
      </w:r>
    </w:p>
    <w:p>
      <w:pPr>
        <w:tabs>
          <w:tab w:val="right" w:pos="9638" w:leader="dot"/>
        </w:tabs>
        <w:spacing w:after="30" w:before="120" w:line="252"/>
      </w:pPr>
      <w:r>
        <w:rPr>
          <w:b/>
          <w:bCs/>
          <w:color w:val="1B1F3B"/>
          <w:sz w:val="21"/>
          <w:szCs w:val="21"/>
        </w:rPr>
        <w:t xml:space="preserve">20. Partilhar dossiers entre colegas</w:t>
      </w:r>
      <w:r>
        <w:rPr>
          <w:color w:val="1B1F3B"/>
          <w:sz w:val="21"/>
          <w:szCs w:val="21"/>
        </w:rPr>
        <w:t xml:space="preserve">	51</w:t>
      </w:r>
    </w:p>
    <w:p>
      <w:pPr>
        <w:tabs>
          <w:tab w:val="right" w:pos="9638" w:leader="dot"/>
        </w:tabs>
        <w:spacing w:after="30" w:before="0" w:line="252"/>
        <w:ind w:left="400"/>
      </w:pPr>
      <w:r>
        <w:rPr>
          <w:b w:val="false"/>
          <w:bCs w:val="false"/>
          <w:color w:val="5B6180"/>
          <w:sz w:val="19"/>
          <w:szCs w:val="19"/>
        </w:rPr>
        <w:t xml:space="preserve">20.1 Importar e juntar</w:t>
      </w:r>
      <w:r>
        <w:rPr>
          <w:color w:val="5B6180"/>
          <w:sz w:val="19"/>
          <w:szCs w:val="19"/>
        </w:rPr>
        <w:t xml:space="preserve">	52</w:t>
      </w:r>
    </w:p>
    <w:p>
      <w:pPr>
        <w:tabs>
          <w:tab w:val="right" w:pos="9638" w:leader="dot"/>
        </w:tabs>
        <w:spacing w:after="30" w:before="120" w:line="252"/>
      </w:pPr>
      <w:r>
        <w:rPr>
          <w:b/>
          <w:bCs/>
          <w:color w:val="1B1F3B"/>
          <w:sz w:val="21"/>
          <w:szCs w:val="21"/>
        </w:rPr>
        <w:t xml:space="preserve">21. Cópias automáticas para uma pasta</w:t>
      </w:r>
      <w:r>
        <w:rPr>
          <w:color w:val="1B1F3B"/>
          <w:sz w:val="21"/>
          <w:szCs w:val="21"/>
        </w:rPr>
        <w:t xml:space="preserve">	53</w:t>
      </w:r>
    </w:p>
    <w:p>
      <w:pPr>
        <w:tabs>
          <w:tab w:val="right" w:pos="9638" w:leader="dot"/>
        </w:tabs>
        <w:spacing w:after="30" w:before="120" w:line="252"/>
      </w:pPr>
      <w:r>
        <w:rPr>
          <w:b/>
          <w:bCs/>
          <w:color w:val="1B1F3B"/>
          <w:sz w:val="21"/>
          <w:szCs w:val="21"/>
        </w:rPr>
        <w:t xml:space="preserve">22. Receber ficheiros partilhados (Recebidos)</w:t>
      </w:r>
      <w:r>
        <w:rPr>
          <w:color w:val="1B1F3B"/>
          <w:sz w:val="21"/>
          <w:szCs w:val="21"/>
        </w:rPr>
        <w:t xml:space="preserve">	54</w:t>
      </w:r>
    </w:p>
    <w:p>
      <w:pPr>
        <w:tabs>
          <w:tab w:val="right" w:pos="9638" w:leader="dot"/>
        </w:tabs>
        <w:spacing w:after="30" w:before="120" w:line="252"/>
      </w:pPr>
      <w:r>
        <w:rPr>
          <w:b/>
          <w:bCs/>
          <w:color w:val="1B1F3B"/>
          <w:sz w:val="21"/>
          <w:szCs w:val="21"/>
        </w:rPr>
        <w:t xml:space="preserve">23. Anular e reciclagem</w:t>
      </w:r>
      <w:r>
        <w:rPr>
          <w:color w:val="1B1F3B"/>
          <w:sz w:val="21"/>
          <w:szCs w:val="21"/>
        </w:rPr>
        <w:t xml:space="preserve">	55</w:t>
      </w:r>
    </w:p>
    <w:p>
      <w:pPr>
        <w:tabs>
          <w:tab w:val="right" w:pos="9638" w:leader="dot"/>
        </w:tabs>
        <w:spacing w:after="30" w:before="0" w:line="252"/>
        <w:ind w:left="400"/>
      </w:pPr>
      <w:r>
        <w:rPr>
          <w:b w:val="false"/>
          <w:bCs w:val="false"/>
          <w:color w:val="5B6180"/>
          <w:sz w:val="19"/>
          <w:szCs w:val="19"/>
        </w:rPr>
        <w:t xml:space="preserve">23.1 Reciclagem</w:t>
      </w:r>
      <w:r>
        <w:rPr>
          <w:color w:val="5B6180"/>
          <w:sz w:val="19"/>
          <w:szCs w:val="19"/>
        </w:rPr>
        <w:t xml:space="preserve">	56</w:t>
      </w:r>
    </w:p>
    <w:p>
      <w:pPr>
        <w:tabs>
          <w:tab w:val="right" w:pos="9638" w:leader="dot"/>
        </w:tabs>
        <w:spacing w:after="30" w:before="0" w:line="252"/>
        <w:ind w:left="400"/>
      </w:pPr>
      <w:r>
        <w:rPr>
          <w:b w:val="false"/>
          <w:bCs w:val="false"/>
          <w:color w:val="5B6180"/>
          <w:sz w:val="19"/>
          <w:szCs w:val="19"/>
        </w:rPr>
        <w:t xml:space="preserve">23.2 Histórico pesquisável</w:t>
      </w:r>
      <w:r>
        <w:rPr>
          <w:color w:val="5B6180"/>
          <w:sz w:val="19"/>
          <w:szCs w:val="19"/>
        </w:rPr>
        <w:t xml:space="preserve">	57</w:t>
      </w:r>
    </w:p>
    <w:p>
      <w:pPr>
        <w:tabs>
          <w:tab w:val="right" w:pos="9638" w:leader="dot"/>
        </w:tabs>
        <w:spacing w:after="30" w:before="120" w:line="252"/>
      </w:pPr>
      <w:r>
        <w:rPr>
          <w:b/>
          <w:bCs/>
          <w:color w:val="1B1F3B"/>
          <w:sz w:val="21"/>
          <w:szCs w:val="21"/>
        </w:rPr>
        <w:t xml:space="preserve">24. Análise da equipa</w:t>
      </w:r>
      <w:r>
        <w:rPr>
          <w:color w:val="1B1F3B"/>
          <w:sz w:val="21"/>
          <w:szCs w:val="21"/>
        </w:rPr>
        <w:t xml:space="preserve">	58</w:t>
      </w:r>
    </w:p>
    <w:p>
      <w:pPr>
        <w:tabs>
          <w:tab w:val="right" w:pos="9638" w:leader="dot"/>
        </w:tabs>
        <w:spacing w:after="30" w:before="120" w:line="252"/>
      </w:pPr>
      <w:r>
        <w:rPr>
          <w:b/>
          <w:bCs/>
          <w:color w:val="1B1F3B"/>
          <w:sz w:val="21"/>
          <w:szCs w:val="21"/>
        </w:rPr>
        <w:t xml:space="preserve">25. Pesquisa avançada e vistas guardadas</w:t>
      </w:r>
      <w:r>
        <w:rPr>
          <w:color w:val="1B1F3B"/>
          <w:sz w:val="21"/>
          <w:szCs w:val="21"/>
        </w:rPr>
        <w:t xml:space="preserve">	60</w:t>
      </w:r>
    </w:p>
    <w:p>
      <w:pPr>
        <w:tabs>
          <w:tab w:val="right" w:pos="9638" w:leader="dot"/>
        </w:tabs>
        <w:spacing w:after="30" w:before="0" w:line="252"/>
        <w:ind w:left="400"/>
      </w:pPr>
      <w:r>
        <w:rPr>
          <w:b w:val="false"/>
          <w:bCs w:val="false"/>
          <w:color w:val="5B6180"/>
          <w:sz w:val="19"/>
          <w:szCs w:val="19"/>
        </w:rPr>
        <w:t xml:space="preserve">25.1 Vistas</w:t>
      </w:r>
      <w:r>
        <w:rPr>
          <w:color w:val="5B6180"/>
          <w:sz w:val="19"/>
          <w:szCs w:val="19"/>
        </w:rPr>
        <w:t xml:space="preserve">	61</w:t>
      </w:r>
    </w:p>
    <w:p>
      <w:pPr>
        <w:tabs>
          <w:tab w:val="right" w:pos="9638" w:leader="dot"/>
        </w:tabs>
        <w:spacing w:after="30" w:before="0" w:line="252"/>
        <w:ind w:left="400"/>
      </w:pPr>
      <w:r>
        <w:rPr>
          <w:b w:val="false"/>
          <w:bCs w:val="false"/>
          <w:color w:val="5B6180"/>
          <w:sz w:val="19"/>
          <w:szCs w:val="19"/>
        </w:rPr>
        <w:t xml:space="preserve">25.2 Pesquisa profunda e pesquisa global</w:t>
      </w:r>
      <w:r>
        <w:rPr>
          <w:color w:val="5B6180"/>
          <w:sz w:val="19"/>
          <w:szCs w:val="19"/>
        </w:rPr>
        <w:t xml:space="preserve">	61</w:t>
      </w:r>
    </w:p>
    <w:p>
      <w:pPr>
        <w:tabs>
          <w:tab w:val="right" w:pos="9638" w:leader="dot"/>
        </w:tabs>
        <w:spacing w:after="30" w:before="120" w:line="252"/>
      </w:pPr>
      <w:r>
        <w:rPr>
          <w:b/>
          <w:bCs/>
          <w:color w:val="1B1F3B"/>
          <w:sz w:val="21"/>
          <w:szCs w:val="21"/>
        </w:rPr>
        <w:t xml:space="preserve">26. Documentos: validade, pedidos, pré-visualização e lote</w:t>
      </w:r>
      <w:r>
        <w:rPr>
          <w:color w:val="1B1F3B"/>
          <w:sz w:val="21"/>
          <w:szCs w:val="21"/>
        </w:rPr>
        <w:t xml:space="preserve">	62</w:t>
      </w:r>
    </w:p>
    <w:p>
      <w:pPr>
        <w:tabs>
          <w:tab w:val="right" w:pos="9638" w:leader="dot"/>
        </w:tabs>
        <w:spacing w:after="30" w:before="0" w:line="252"/>
        <w:ind w:left="400"/>
      </w:pPr>
      <w:r>
        <w:rPr>
          <w:b w:val="false"/>
          <w:bCs w:val="false"/>
          <w:color w:val="5B6180"/>
          <w:sz w:val="19"/>
          <w:szCs w:val="19"/>
        </w:rPr>
        <w:t xml:space="preserve">26.1 Validade das certidões</w:t>
      </w:r>
      <w:r>
        <w:rPr>
          <w:color w:val="5B6180"/>
          <w:sz w:val="19"/>
          <w:szCs w:val="19"/>
        </w:rPr>
        <w:t xml:space="preserve">	62</w:t>
      </w:r>
    </w:p>
    <w:p>
      <w:pPr>
        <w:tabs>
          <w:tab w:val="right" w:pos="9638" w:leader="dot"/>
        </w:tabs>
        <w:spacing w:after="30" w:before="0" w:line="252"/>
        <w:ind w:left="400"/>
      </w:pPr>
      <w:r>
        <w:rPr>
          <w:b w:val="false"/>
          <w:bCs w:val="false"/>
          <w:color w:val="5B6180"/>
          <w:sz w:val="19"/>
          <w:szCs w:val="19"/>
        </w:rPr>
        <w:t xml:space="preserve">26.2 Pedidos por interessado</w:t>
      </w:r>
      <w:r>
        <w:rPr>
          <w:color w:val="5B6180"/>
          <w:sz w:val="19"/>
          <w:szCs w:val="19"/>
        </w:rPr>
        <w:t xml:space="preserve">	63</w:t>
      </w:r>
    </w:p>
    <w:p>
      <w:pPr>
        <w:tabs>
          <w:tab w:val="right" w:pos="9638" w:leader="dot"/>
        </w:tabs>
        <w:spacing w:after="30" w:before="0" w:line="252"/>
        <w:ind w:left="400"/>
      </w:pPr>
      <w:r>
        <w:rPr>
          <w:b w:val="false"/>
          <w:bCs w:val="false"/>
          <w:color w:val="5B6180"/>
          <w:sz w:val="19"/>
          <w:szCs w:val="19"/>
        </w:rPr>
        <w:t xml:space="preserve">26.3 Pré-visualização e ações em lote</w:t>
      </w:r>
      <w:r>
        <w:rPr>
          <w:color w:val="5B6180"/>
          <w:sz w:val="19"/>
          <w:szCs w:val="19"/>
        </w:rPr>
        <w:t xml:space="preserve">	64</w:t>
      </w:r>
    </w:p>
    <w:p>
      <w:pPr>
        <w:tabs>
          <w:tab w:val="right" w:pos="9638" w:leader="dot"/>
        </w:tabs>
        <w:spacing w:after="30" w:before="120" w:line="252"/>
      </w:pPr>
      <w:r>
        <w:rPr>
          <w:b/>
          <w:bCs/>
          <w:color w:val="1B1F3B"/>
          <w:sz w:val="21"/>
          <w:szCs w:val="21"/>
        </w:rPr>
        <w:t xml:space="preserve">27. Perguntas frequentes e resolução de problemas</w:t>
      </w:r>
      <w:r>
        <w:rPr>
          <w:color w:val="1B1F3B"/>
          <w:sz w:val="21"/>
          <w:szCs w:val="21"/>
        </w:rPr>
        <w:t xml:space="preserve">	66</w:t>
      </w:r>
    </w:p>
    <w:p>
      <w:pPr>
        <w:tabs>
          <w:tab w:val="right" w:pos="9638" w:leader="dot"/>
        </w:tabs>
        <w:spacing w:after="30" w:before="120" w:line="252"/>
      </w:pPr>
      <w:r>
        <w:rPr>
          <w:b/>
          <w:bCs/>
          <w:color w:val="1B1F3B"/>
          <w:sz w:val="21"/>
          <w:szCs w:val="21"/>
        </w:rPr>
        <w:t xml:space="preserve">Anexo A — Fases e estados</w:t>
      </w:r>
      <w:r>
        <w:rPr>
          <w:color w:val="1B1F3B"/>
          <w:sz w:val="21"/>
          <w:szCs w:val="21"/>
        </w:rPr>
        <w:t xml:space="preserve">	68</w:t>
      </w:r>
    </w:p>
    <w:p>
      <w:pPr>
        <w:tabs>
          <w:tab w:val="right" w:pos="9638" w:leader="dot"/>
        </w:tabs>
        <w:spacing w:after="30" w:before="120" w:line="252"/>
      </w:pPr>
      <w:r>
        <w:rPr>
          <w:b/>
          <w:bCs/>
          <w:color w:val="1B1F3B"/>
          <w:sz w:val="21"/>
          <w:szCs w:val="21"/>
        </w:rPr>
        <w:t xml:space="preserve">Anexo B — O questionário (27 perguntas)</w:t>
      </w:r>
      <w:r>
        <w:rPr>
          <w:color w:val="1B1F3B"/>
          <w:sz w:val="21"/>
          <w:szCs w:val="21"/>
        </w:rPr>
        <w:t xml:space="preserve">	69</w:t>
      </w:r>
    </w:p>
    <w:p>
      <w:pPr>
        <w:tabs>
          <w:tab w:val="right" w:pos="9638" w:leader="dot"/>
        </w:tabs>
        <w:spacing w:after="30" w:before="120" w:line="252"/>
      </w:pPr>
      <w:r>
        <w:rPr>
          <w:b/>
          <w:bCs/>
          <w:color w:val="1B1F3B"/>
          <w:sz w:val="21"/>
          <w:szCs w:val="21"/>
        </w:rPr>
        <w:t xml:space="preserve">Anexo C — Catálogo de tarefas geradas</w:t>
      </w:r>
      <w:r>
        <w:rPr>
          <w:color w:val="1B1F3B"/>
          <w:sz w:val="21"/>
          <w:szCs w:val="21"/>
        </w:rPr>
        <w:t xml:space="preserve">	71</w:t>
      </w:r>
    </w:p>
    <w:p>
      <w:pPr>
        <w:tabs>
          <w:tab w:val="right" w:pos="9638" w:leader="dot"/>
        </w:tabs>
        <w:spacing w:after="30" w:before="0" w:line="252"/>
        <w:ind w:left="400"/>
      </w:pPr>
      <w:r>
        <w:rPr>
          <w:b w:val="false"/>
          <w:bCs w:val="false"/>
          <w:color w:val="5B6180"/>
          <w:sz w:val="19"/>
          <w:szCs w:val="19"/>
        </w:rPr>
        <w:t xml:space="preserve">Abertura (7)</w:t>
      </w:r>
      <w:r>
        <w:rPr>
          <w:color w:val="5B6180"/>
          <w:sz w:val="19"/>
          <w:szCs w:val="19"/>
        </w:rPr>
        <w:t xml:space="preserve">	71</w:t>
      </w:r>
    </w:p>
    <w:p>
      <w:pPr>
        <w:tabs>
          <w:tab w:val="right" w:pos="9638" w:leader="dot"/>
        </w:tabs>
        <w:spacing w:after="30" w:before="0" w:line="252"/>
        <w:ind w:left="400"/>
      </w:pPr>
      <w:r>
        <w:rPr>
          <w:b w:val="false"/>
          <w:bCs w:val="false"/>
          <w:color w:val="5B6180"/>
          <w:sz w:val="19"/>
          <w:szCs w:val="19"/>
        </w:rPr>
        <w:t xml:space="preserve">Interessados (17)</w:t>
      </w:r>
      <w:r>
        <w:rPr>
          <w:color w:val="5B6180"/>
          <w:sz w:val="19"/>
          <w:szCs w:val="19"/>
        </w:rPr>
        <w:t xml:space="preserve">	71</w:t>
      </w:r>
    </w:p>
    <w:p>
      <w:pPr>
        <w:tabs>
          <w:tab w:val="right" w:pos="9638" w:leader="dot"/>
        </w:tabs>
        <w:spacing w:after="30" w:before="0" w:line="252"/>
        <w:ind w:left="400"/>
      </w:pPr>
      <w:r>
        <w:rPr>
          <w:b w:val="false"/>
          <w:bCs w:val="false"/>
          <w:color w:val="5B6180"/>
          <w:sz w:val="19"/>
          <w:szCs w:val="19"/>
        </w:rPr>
        <w:t xml:space="preserve">Testamento (5)</w:t>
      </w:r>
      <w:r>
        <w:rPr>
          <w:color w:val="5B6180"/>
          <w:sz w:val="19"/>
          <w:szCs w:val="19"/>
        </w:rPr>
        <w:t xml:space="preserve">	72</w:t>
      </w:r>
    </w:p>
    <w:p>
      <w:pPr>
        <w:tabs>
          <w:tab w:val="right" w:pos="9638" w:leader="dot"/>
        </w:tabs>
        <w:spacing w:after="30" w:before="0" w:line="252"/>
        <w:ind w:left="400"/>
      </w:pPr>
      <w:r>
        <w:rPr>
          <w:b w:val="false"/>
          <w:bCs w:val="false"/>
          <w:color w:val="5B6180"/>
          <w:sz w:val="19"/>
          <w:szCs w:val="19"/>
        </w:rPr>
        <w:t xml:space="preserve">Habilitação (3)</w:t>
      </w:r>
      <w:r>
        <w:rPr>
          <w:color w:val="5B6180"/>
          <w:sz w:val="19"/>
          <w:szCs w:val="19"/>
        </w:rPr>
        <w:t xml:space="preserve">	72</w:t>
      </w:r>
    </w:p>
    <w:p>
      <w:pPr>
        <w:tabs>
          <w:tab w:val="right" w:pos="9638" w:leader="dot"/>
        </w:tabs>
        <w:spacing w:after="30" w:before="0" w:line="252"/>
        <w:ind w:left="400"/>
      </w:pPr>
      <w:r>
        <w:rPr>
          <w:b w:val="false"/>
          <w:bCs w:val="false"/>
          <w:color w:val="5B6180"/>
          <w:sz w:val="19"/>
          <w:szCs w:val="19"/>
        </w:rPr>
        <w:t xml:space="preserve">Internacional (6)</w:t>
      </w:r>
      <w:r>
        <w:rPr>
          <w:color w:val="5B6180"/>
          <w:sz w:val="19"/>
          <w:szCs w:val="19"/>
        </w:rPr>
        <w:t xml:space="preserve">	72</w:t>
      </w:r>
    </w:p>
    <w:p>
      <w:pPr>
        <w:tabs>
          <w:tab w:val="right" w:pos="9638" w:leader="dot"/>
        </w:tabs>
        <w:spacing w:after="30" w:before="0" w:line="252"/>
        <w:ind w:left="400"/>
      </w:pPr>
      <w:r>
        <w:rPr>
          <w:b w:val="false"/>
          <w:bCs w:val="false"/>
          <w:color w:val="5B6180"/>
          <w:sz w:val="19"/>
          <w:szCs w:val="19"/>
        </w:rPr>
        <w:t xml:space="preserve">Património (14)</w:t>
      </w:r>
      <w:r>
        <w:rPr>
          <w:color w:val="5B6180"/>
          <w:sz w:val="19"/>
          <w:szCs w:val="19"/>
        </w:rPr>
        <w:t xml:space="preserve">	73</w:t>
      </w:r>
    </w:p>
    <w:p>
      <w:pPr>
        <w:tabs>
          <w:tab w:val="right" w:pos="9638" w:leader="dot"/>
        </w:tabs>
        <w:spacing w:after="30" w:before="0" w:line="252"/>
        <w:ind w:left="400"/>
      </w:pPr>
      <w:r>
        <w:rPr>
          <w:b w:val="false"/>
          <w:bCs w:val="false"/>
          <w:color w:val="5B6180"/>
          <w:sz w:val="19"/>
          <w:szCs w:val="19"/>
        </w:rPr>
        <w:t xml:space="preserve">Passivo (7)</w:t>
      </w:r>
      <w:r>
        <w:rPr>
          <w:color w:val="5B6180"/>
          <w:sz w:val="19"/>
          <w:szCs w:val="19"/>
        </w:rPr>
        <w:t xml:space="preserve">	74</w:t>
      </w:r>
    </w:p>
    <w:p>
      <w:pPr>
        <w:tabs>
          <w:tab w:val="right" w:pos="9638" w:leader="dot"/>
        </w:tabs>
        <w:spacing w:after="30" w:before="0" w:line="252"/>
        <w:ind w:left="400"/>
      </w:pPr>
      <w:r>
        <w:rPr>
          <w:b w:val="false"/>
          <w:bCs w:val="false"/>
          <w:color w:val="5B6180"/>
          <w:sz w:val="19"/>
          <w:szCs w:val="19"/>
        </w:rPr>
        <w:t xml:space="preserve">Fiscal (8)</w:t>
      </w:r>
      <w:r>
        <w:rPr>
          <w:color w:val="5B6180"/>
          <w:sz w:val="19"/>
          <w:szCs w:val="19"/>
        </w:rPr>
        <w:t xml:space="preserve">	74</w:t>
      </w:r>
    </w:p>
    <w:p>
      <w:pPr>
        <w:tabs>
          <w:tab w:val="right" w:pos="9638" w:leader="dot"/>
        </w:tabs>
        <w:spacing w:after="30" w:before="0" w:line="252"/>
        <w:ind w:left="400"/>
      </w:pPr>
      <w:r>
        <w:rPr>
          <w:b w:val="false"/>
          <w:bCs w:val="false"/>
          <w:color w:val="5B6180"/>
          <w:sz w:val="19"/>
          <w:szCs w:val="19"/>
        </w:rPr>
        <w:t xml:space="preserve">Partilha (7)</w:t>
      </w:r>
      <w:r>
        <w:rPr>
          <w:color w:val="5B6180"/>
          <w:sz w:val="19"/>
          <w:szCs w:val="19"/>
        </w:rPr>
        <w:t xml:space="preserve">	74</w:t>
      </w:r>
    </w:p>
    <w:p>
      <w:pPr>
        <w:tabs>
          <w:tab w:val="right" w:pos="9638" w:leader="dot"/>
        </w:tabs>
        <w:spacing w:after="30" w:before="0" w:line="252"/>
        <w:ind w:left="400"/>
      </w:pPr>
      <w:r>
        <w:rPr>
          <w:b w:val="false"/>
          <w:bCs w:val="false"/>
          <w:color w:val="5B6180"/>
          <w:sz w:val="19"/>
          <w:szCs w:val="19"/>
        </w:rPr>
        <w:t xml:space="preserve">Encerramento (6)</w:t>
      </w:r>
      <w:r>
        <w:rPr>
          <w:color w:val="5B6180"/>
          <w:sz w:val="19"/>
          <w:szCs w:val="19"/>
        </w:rPr>
        <w:t xml:space="preserve">	75</w:t>
      </w:r>
    </w:p>
    <w:p>
      <w:pPr>
        <w:tabs>
          <w:tab w:val="right" w:pos="9638" w:leader="dot"/>
        </w:tabs>
        <w:spacing w:after="30" w:before="120" w:line="252"/>
      </w:pPr>
      <w:r>
        <w:rPr>
          <w:b/>
          <w:bCs/>
          <w:color w:val="1B1F3B"/>
          <w:sz w:val="21"/>
          <w:szCs w:val="21"/>
        </w:rPr>
        <w:t xml:space="preserve">Anexo D — Campos automáticos das minutas</w:t>
      </w:r>
      <w:r>
        <w:rPr>
          <w:color w:val="1B1F3B"/>
          <w:sz w:val="21"/>
          <w:szCs w:val="21"/>
        </w:rPr>
        <w:t xml:space="preserve">	76</w:t>
      </w:r>
    </w:p>
    <w:p>
      <w:pPr>
        <w:tabs>
          <w:tab w:val="right" w:pos="9638" w:leader="dot"/>
        </w:tabs>
        <w:spacing w:after="30" w:before="120" w:line="252"/>
      </w:pPr>
      <w:r>
        <w:rPr>
          <w:b/>
          <w:bCs/>
          <w:color w:val="1B1F3B"/>
          <w:sz w:val="21"/>
          <w:szCs w:val="21"/>
        </w:rPr>
        <w:t xml:space="preserve">Anexo E — Histórico das versões</w:t>
      </w:r>
      <w:r>
        <w:rPr>
          <w:color w:val="1B1F3B"/>
          <w:sz w:val="21"/>
          <w:szCs w:val="21"/>
        </w:rPr>
        <w:t xml:space="preserve">	77</w:t>
      </w:r>
    </w:p>
    <w:p>
      <w:pPr>
        <w:tabs>
          <w:tab w:val="right" w:pos="9638" w:leader="dot"/>
        </w:tabs>
        <w:spacing w:after="30" w:before="120" w:line="252"/>
      </w:pPr>
      <w:r>
        <w:rPr>
          <w:b/>
          <w:bCs/>
          <w:color w:val="1B1F3B"/>
          <w:sz w:val="21"/>
          <w:szCs w:val="21"/>
        </w:rPr>
        <w:t xml:space="preserve">Anexo F — Prazos de referência noutros países</w:t>
      </w:r>
      <w:r>
        <w:rPr>
          <w:color w:val="1B1F3B"/>
          <w:sz w:val="21"/>
          <w:szCs w:val="21"/>
        </w:rPr>
        <w:t xml:space="preserve">	79</w:t>
      </w:r>
    </w:p>
    <w:p>
      <w:pPr>
        <w:tabs>
          <w:tab w:val="right" w:pos="9638" w:leader="dot"/>
        </w:tabs>
        <w:spacing w:after="30" w:before="120" w:line="252"/>
      </w:pPr>
      <w:r>
        <w:rPr>
          <w:b/>
          <w:bCs/>
          <w:color w:val="1B1F3B"/>
          <w:sz w:val="21"/>
          <w:szCs w:val="21"/>
        </w:rPr>
        <w:t xml:space="preserve">Anexo G — Ficha técnica</w:t>
      </w:r>
      <w:r>
        <w:rPr>
          <w:color w:val="1B1F3B"/>
          <w:sz w:val="21"/>
          <w:szCs w:val="21"/>
        </w:rPr>
        <w:t xml:space="preserve">	80</w:t>
      </w:r>
    </w:p>
    <w:p>
      <w:r>
        <w:br w:type="page"/>
      </w:r>
    </w:p>
    <w:p>
      <w:pPr>
        <w:pStyle w:val="Heading1"/>
      </w:pPr>
      <w:r>
        <w:t xml:space="preserve">1. Sobre este manual</w:t>
      </w:r>
    </w:p>
    <w:p>
      <w:pPr>
        <w:spacing w:after="120" w:line="276"/>
      </w:pPr>
      <w:r>
        <w:t xml:space="preserve">Este manual descreve todas as funcionalidades do </w:t>
      </w:r>
      <w:r>
        <w:rPr>
          <w:b/>
          <w:bCs/>
        </w:rPr>
        <w:t xml:space="preserve">Balcão das Sucessões</w:t>
      </w:r>
      <w:r>
        <w:t xml:space="preserve"> e explica, passo a passo, como as usar no dia a dia de um escritório que acompanha processos sucessórios: abrir um dossier, responder ao questionário, trabalhar a checklist, gerir interessados, património e documentos, controlar prazos na agenda, calcular quotas hereditárias, produzir minutas e manter cópias de segurança.</w:t>
      </w:r>
    </w:p>
    <w:p>
      <w:pPr>
        <w:pStyle w:val="Heading2"/>
      </w:pPr>
      <w:r>
        <w:t xml:space="preserve">1.1 A quem se destina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Advogados e advogadas, solicitadores e solicitadoras que conduzem sucessões (habilitação de herdeiros, obrigações fiscais, partilha).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Equipas de apoio jurídico que acompanham prazos, documentos e contactos com clientes, bancos, notários e repartições.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Quem coordena a carteira de dossiers do escritório e precisa de uma visão global em tempo real.</w:t>
      </w:r>
    </w:p>
    <w:p>
      <w:pPr>
        <w:pStyle w:val="Heading2"/>
      </w:pPr>
      <w:r>
        <w:t xml:space="preserve">1.2 Convenções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Os nomes de ecrãs, separadores e botões aparecem a </w:t>
      </w:r>
      <w:r>
        <w:rPr>
          <w:b/>
          <w:bCs/>
        </w:rPr>
        <w:t xml:space="preserve">negrito</w:t>
      </w:r>
      <w:r>
        <w:t xml:space="preserve"> (ex.: </w:t>
      </w:r>
      <w:r>
        <w:rPr>
          <w:b/>
          <w:bCs/>
        </w:rPr>
        <w:t xml:space="preserve">Dossiers</w:t>
      </w:r>
      <w:r>
        <w:t xml:space="preserve">, </w:t>
      </w:r>
      <w:r>
        <w:rPr>
          <w:b/>
          <w:bCs/>
        </w:rPr>
        <w:t xml:space="preserve">Guardar no dossier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As teclas e os endereços aparecem em </w:t>
      </w:r>
      <w:r>
        <w:rPr>
          <w:rFonts w:ascii="Consolas" w:cs="Consolas" w:eastAsia="Consolas" w:hAnsi="Consolas"/>
          <w:color w:val="2D39B9"/>
          <w:sz w:val="19"/>
          <w:szCs w:val="19"/>
        </w:rPr>
        <w:t xml:space="preserve">monoespaçado</w:t>
      </w:r>
      <w:r>
        <w:t xml:space="preserve"> (ex.: </w:t>
      </w:r>
      <w:r>
        <w:rPr>
          <w:rFonts w:ascii="Consolas" w:cs="Consolas" w:eastAsia="Consolas" w:hAnsi="Consolas"/>
          <w:color w:val="2D39B9"/>
          <w:sz w:val="19"/>
          <w:szCs w:val="19"/>
        </w:rPr>
        <w:t xml:space="preserve">/</w:t>
      </w:r>
      <w:r>
        <w:t xml:space="preserve"> para pesquisar).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As figuras mostram a aplicação no computador, em tema claro, salvo indicação em contrário. No telemóvel os mesmos conteúdos surgem reorganizados numa só coluna.</w:t>
      </w:r>
    </w:p>
    <w:p>
      <w:pPr>
        <w:pStyle w:val="Heading2"/>
      </w:pPr>
      <w:r>
        <w:t xml:space="preserve">1.3 Aviso importante</w:t>
      </w:r>
    </w:p>
    <w:tbl>
      <w:tblPr>
        <w:tblW w:type="dxa" w:w="9638"/>
        <w:tblBorders>
          <w:top w:val="single" w:color="FFF6E5" w:sz="4"/>
          <w:left w:val="single" w:color="FFF6E5" w:sz="4"/>
          <w:bottom w:val="single" w:color="FFF6E5" w:sz="4"/>
          <w:right w:val="single" w:color="FFF6E5" w:sz="4"/>
          <w:insideH w:val="single" w:color="FFF6E5" w:sz="4"/>
          <w:insideV w:val="single" w:color="FFF6E5" w:sz="4"/>
        </w:tblBorders>
      </w:tblPr>
      <w:tblGrid>
        <w:gridCol w:w="9638"/>
      </w:tblGrid>
      <w:tr>
        <w:tc>
          <w:tcPr>
            <w:tcW w:type="dxa" w:w="9638"/>
            <w:shd w:fill="FFF6E5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8A5A00"/>
              </w:rPr>
              <w:t xml:space="preserve">Conteúdo jurídico de apoio</w:t>
            </w:r>
          </w:p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 checklist, os prazos calculados, as referências legais, a calculadora sucessória e as minutas foram construídos como </w:t>
            </w:r>
            <w:r>
              <w:rPr>
                <w:b/>
                <w:bCs/>
                <w:sz w:val="20"/>
                <w:szCs w:val="20"/>
              </w:rPr>
              <w:t xml:space="preserve">apoio ao trabalho da equipa</w:t>
            </w:r>
            <w:r>
              <w:rPr>
                <w:sz w:val="20"/>
                <w:szCs w:val="20"/>
              </w:rPr>
              <w:t xml:space="preserve">. Devem ser confirmados caso a caso, com a legislação em vigor e as circunstâncias concretas do processo. Em caso de dúvida, prevalece sempre a análise do profissional responsável pelo dossier.</w:t>
            </w:r>
          </w:p>
        </w:tc>
      </w:tr>
    </w:tbl>
    <w:p>
      <w:pPr>
        <w:pStyle w:val="Heading1"/>
        <w:pageBreakBefore/>
      </w:pPr>
      <w:r>
        <w:t xml:space="preserve">2. O que é o Balcão das Sucessões</w:t>
      </w:r>
    </w:p>
    <w:p>
      <w:pPr>
        <w:spacing w:after="120" w:line="276"/>
      </w:pPr>
      <w:r>
        <w:t xml:space="preserve">O Balcão das Sucessões é um </w:t>
      </w:r>
      <w:r>
        <w:rPr>
          <w:b/>
          <w:bCs/>
        </w:rPr>
        <w:t xml:space="preserve">balcão único</w:t>
      </w:r>
      <w:r>
        <w:t xml:space="preserve"> para as sucessões do escritório: um lugar onde cada processo fica organizado, onde se acompanha o que está feito e por fazer, e onde a aplicação identifica </w:t>
      </w:r>
      <w:r>
        <w:rPr>
          <w:b/>
          <w:bCs/>
        </w:rPr>
        <w:t xml:space="preserve">o próximo passo</w:t>
      </w:r>
      <w:r>
        <w:t xml:space="preserve"> e </w:t>
      </w:r>
      <w:r>
        <w:rPr>
          <w:b/>
          <w:bCs/>
        </w:rPr>
        <w:t xml:space="preserve">o que está a bloquear</w:t>
      </w:r>
      <w:r>
        <w:t xml:space="preserve">.</w:t>
      </w:r>
    </w:p>
    <w:p>
      <w:pPr>
        <w:pStyle w:val="Heading2"/>
      </w:pPr>
      <w:r>
        <w:t xml:space="preserve">2.1 Princípios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Perguntas certas → dossier certo.</w:t>
      </w:r>
      <w:r>
        <w:t xml:space="preserve"> Um questionário de 24 perguntas (respondidas em poucos minutos) descreve a sucessão: onde ocorreu o óbito, ligações internacionais, família, testamento e liberalidades, património, passivo e perspetiva de partilha.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A checklist é o motor.</w:t>
      </w:r>
      <w:r>
        <w:t xml:space="preserve"> Cada resposta ativa regras (pergunta → condição → tarefa → semáforo). Das 55 regras resultam até 72 tarefas com orientações, documentos necessários, referências legais e prazos calculados a partir da data do óbito.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O que está a bloquear? e a próxima ação.</w:t>
      </w:r>
      <w:r>
        <w:t xml:space="preserve"> Em cada dossier e no painel global, a aplicação destaca prazos ultrapassados, tarefas críticas por iniciar e dependências de terceiros — e diz o que fazer a seguir.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Memória prática.</w:t>
      </w:r>
      <w:r>
        <w:t xml:space="preserve"> Interessados, património, passivo, documentos, notas e registo de contactos ficam no dossier, à mão de toda a equipa.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Privacidade por natureza.</w:t>
      </w:r>
      <w:r>
        <w:t xml:space="preserve"> Os dados ficam apenas no navegador/dispositivo (IndexedDB). Nada é enviado para servidores. As cópias de segurança são ficheiros que o escritório guarda onde entender.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Funciona sem internet.</w:t>
      </w:r>
      <w:r>
        <w:t xml:space="preserve"> É uma aplicação web progressiva (PWA): instala-se como uma app, abre em janela própria e continua a funcionar offline.</w:t>
      </w:r>
    </w:p>
    <w:p>
      <w:pPr>
        <w:pStyle w:val="Heading2"/>
      </w:pPr>
      <w:r>
        <w:t xml:space="preserve">2.2 Vista rápida das funcionalidades</w:t>
      </w:r>
    </w:p>
    <w:tbl>
      <w:tblPr>
        <w:tblW w:type="dxa" w:w="9638"/>
        <w:tblBorders>
          <w:top w:val="single" w:color="D9DCE8" w:sz="4"/>
          <w:left w:val="single" w:color="D9DCE8" w:sz="4"/>
          <w:bottom w:val="single" w:color="D9DCE8" w:sz="4"/>
          <w:right w:val="single" w:color="D9DCE8" w:sz="4"/>
          <w:insideH w:val="single" w:color="D9DCE8" w:sz="4"/>
          <w:insideV w:val="single" w:color="D9DCE8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shd w:fill="EEF0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2D39B9"/>
                <w:sz w:val="19"/>
                <w:szCs w:val="19"/>
              </w:rPr>
              <w:t xml:space="preserve">Área</w:t>
            </w:r>
          </w:p>
        </w:tc>
        <w:tc>
          <w:tcPr>
            <w:tcW w:type="dxa" w:w="7238"/>
            <w:shd w:fill="EEF0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2D39B9"/>
                <w:sz w:val="19"/>
                <w:szCs w:val="19"/>
              </w:rPr>
              <w:t xml:space="preserve">O que faz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Visão geral</w:t>
            </w:r>
          </w:p>
        </w:tc>
        <w:tc>
          <w:tcPr>
            <w:tcW w:type="dxa" w:w="7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Painel com indicadores, próximos 7 dias, próximas ações, agenda próxima, dossiers a precisar de atenção, evolução global, fases, carga por responsável e contactos a retomar.</w:t>
            </w:r>
          </w:p>
        </w:tc>
      </w:tr>
      <w:tr>
        <w:trPr>
          <w:cantSplit/>
        </w:trPr>
        <w:tc>
          <w:tcPr>
            <w:tcW w:type="dxa" w:w="24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Dossiers</w:t>
            </w:r>
          </w:p>
        </w:tc>
        <w:tc>
          <w:tcPr>
            <w:tcW w:type="dxa" w:w="7238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Lista pesquisável (cartões ou tabela), filtros, ordenação, criação assistida (Nova sucessão), duplicação como modelo, estados do dossier.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Dossier</w:t>
            </w:r>
          </w:p>
        </w:tc>
        <w:tc>
          <w:tcPr>
            <w:tcW w:type="dxa" w:w="7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Dez separadores: Checklist (lista ou quadro Kanban, ações em massa), Interessados, Património, Documentos, Quotas (com mapa de partilha), Internacional, Agenda, Notas &amp; contactos, Questionário e Histórico; relatórios do dossier.</w:t>
            </w:r>
          </w:p>
        </w:tc>
      </w:tr>
      <w:tr>
        <w:trPr>
          <w:cantSplit/>
        </w:trPr>
        <w:tc>
          <w:tcPr>
            <w:tcW w:type="dxa" w:w="24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Relatórios</w:t>
            </w:r>
          </w:p>
        </w:tc>
        <w:tc>
          <w:tcPr>
            <w:tcW w:type="dxa" w:w="7238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Relatório interno, ponto de situação para o cliente (PT/FR/EN), relação de bens e mapa de partilha com tornas — pré-visualização, Word, PDF e arquivo no dossier; exportação CSV.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Produtividade</w:t>
            </w:r>
          </w:p>
        </w:tc>
        <w:tc>
          <w:tcPr>
            <w:tcW w:type="dxa" w:w="7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Paleta de comandos (⌘K), «As minhas tarefas», modelos de dossier, quadro de dossiers por fase.</w:t>
            </w:r>
          </w:p>
        </w:tc>
      </w:tr>
      <w:tr>
        <w:trPr>
          <w:cantSplit/>
        </w:trPr>
        <w:tc>
          <w:tcPr>
            <w:tcW w:type="dxa" w:w="24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Internacional</w:t>
            </w:r>
          </w:p>
        </w:tc>
        <w:tc>
          <w:tcPr>
            <w:tcW w:type="dxa" w:w="7238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Lei aplicável e competência (Reg. (UE) 650/2012), Certificado Sucessório Europeu, circulação de documentos, prazos noutros países, entidades no estrangeiro.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Segurança</w:t>
            </w:r>
          </w:p>
        </w:tc>
        <w:tc>
          <w:tcPr>
            <w:tcW w:type="dxa" w:w="7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Bloqueio por PIN com auto-bloqueio, cópias de segurança cifradas, modo privacidade, importação do protótipo original.</w:t>
            </w:r>
          </w:p>
        </w:tc>
      </w:tr>
      <w:tr>
        <w:trPr>
          <w:cantSplit/>
        </w:trPr>
        <w:tc>
          <w:tcPr>
            <w:tcW w:type="dxa" w:w="24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O que está a bloquear?</w:t>
            </w:r>
          </w:p>
        </w:tc>
        <w:tc>
          <w:tcPr>
            <w:tcW w:type="dxa" w:w="7238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Prazos ultrapassados, tarefas críticas por iniciar, dependências de terceiros e prazos nos próximos 30 dias, para toda a equipa ou por responsável.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Agenda</w:t>
            </w:r>
          </w:p>
        </w:tc>
        <w:tc>
          <w:tcPr>
            <w:tcW w:type="dxa" w:w="7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Calendário português (feriados, férias judiciais), prazos e eventos, lembretes, notificações, exportação .ics.</w:t>
            </w:r>
          </w:p>
        </w:tc>
      </w:tr>
      <w:tr>
        <w:trPr>
          <w:cantSplit/>
        </w:trPr>
        <w:tc>
          <w:tcPr>
            <w:tcW w:type="dxa" w:w="24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Calculadora sucessória</w:t>
            </w:r>
          </w:p>
        </w:tc>
        <w:tc>
          <w:tcPr>
            <w:tcW w:type="dxa" w:w="7238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Quotas hereditárias com frações exatas, legítima e quota disponível, meação, representação, inoficiosidade e estimativa de Imposto do Selo, com fundamentação legal.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Minutas</w:t>
            </w:r>
          </w:p>
        </w:tc>
        <w:tc>
          <w:tcPr>
            <w:tcW w:type="dxa" w:w="7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13 minutas-base (PT, FR, EN) preenchidas com os dados do dossier; exportação para Word, PDF e email; minutas próprias do escritório.</w:t>
            </w:r>
          </w:p>
        </w:tc>
      </w:tr>
      <w:tr>
        <w:trPr>
          <w:cantSplit/>
        </w:trPr>
        <w:tc>
          <w:tcPr>
            <w:tcW w:type="dxa" w:w="24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Calculadora de prazos</w:t>
            </w:r>
          </w:p>
        </w:tc>
        <w:tc>
          <w:tcPr>
            <w:tcW w:type="dxa" w:w="7238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Dias corridos ou úteis, meses e anos, suspensão nas férias judiciais, transferência para o dia útil seguinte, explicação passo a passo; agendar ou usar como prazo de uma tarefa.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Partilha entre colegas</w:t>
            </w:r>
          </w:p>
        </w:tc>
        <w:tc>
          <w:tcPr>
            <w:tcW w:type="dxa" w:w="7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Exportar um dossier completo (com anexos) num ficheiro cifrado e juntá-lo noutro dispositivo com pré-visualização dos conflitos e quatro regras de junção — nada é apagado.</w:t>
            </w:r>
          </w:p>
        </w:tc>
      </w:tr>
      <w:tr>
        <w:trPr>
          <w:cantSplit/>
        </w:trPr>
        <w:tc>
          <w:tcPr>
            <w:tcW w:type="dxa" w:w="24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Cópias automáticas</w:t>
            </w:r>
          </w:p>
        </w:tc>
        <w:tc>
          <w:tcPr>
            <w:tcW w:type="dxa" w:w="7238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Cópias cifradas escritas automaticamente numa pasta do dispositivo (rotação, frequência); numa pasta sincronizada, repositório central sem servidor.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Recebidos</w:t>
            </w:r>
          </w:p>
        </w:tc>
        <w:tc>
          <w:tcPr>
            <w:tcW w:type="dxa" w:w="7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No Android, partilhar um ficheiro ou ligação para a aplicação coloca-o em «Recebidos» para anexar a um dossier.</w:t>
            </w:r>
          </w:p>
        </w:tc>
      </w:tr>
      <w:tr>
        <w:trPr>
          <w:cantSplit/>
        </w:trPr>
        <w:tc>
          <w:tcPr>
            <w:tcW w:type="dxa" w:w="24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Anular e reciclagem</w:t>
            </w:r>
          </w:p>
        </w:tc>
        <w:tc>
          <w:tcPr>
            <w:tcW w:type="dxa" w:w="7238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«Anular» em cada mudança de estado ou remoção (Ctrl/⌘+Z); reciclagem de 30 dias com reposição; histórico pesquisável.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Análise da equipa</w:t>
            </w:r>
          </w:p>
        </w:tc>
        <w:tc>
          <w:tcPr>
            <w:tcW w:type="dxa" w:w="7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Dossiers e prazos por mês, tempo até concluir cada fase, tarefas por fase e desempenho por pessoa, com gráficos acessíveis e tabela alternativa.</w:t>
            </w:r>
          </w:p>
        </w:tc>
      </w:tr>
      <w:tr>
        <w:trPr>
          <w:cantSplit/>
        </w:trPr>
        <w:tc>
          <w:tcPr>
            <w:tcW w:type="dxa" w:w="24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Pesquisa e vistas</w:t>
            </w:r>
          </w:p>
        </w:tc>
        <w:tc>
          <w:tcPr>
            <w:tcW w:type="dxa" w:w="7238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Filtros avançados com chips e endereço partilhável, vistas predefinidas e guardadas com nome, pesquisa profunda e pesquisa global.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Documentos avançados</w:t>
            </w:r>
          </w:p>
        </w:tc>
        <w:tc>
          <w:tcPr>
            <w:tcW w:type="dxa" w:w="7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Validade das certidões com avisos, pedidos de documentos por interessado, pré-visualização de anexos e estados em lote.</w:t>
            </w:r>
          </w:p>
        </w:tc>
      </w:tr>
      <w:tr>
        <w:trPr>
          <w:cantSplit/>
        </w:trPr>
        <w:tc>
          <w:tcPr>
            <w:tcW w:type="dxa" w:w="24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Definições</w:t>
            </w:r>
          </w:p>
        </w:tc>
        <w:tc>
          <w:tcPr>
            <w:tcW w:type="dxa" w:w="7238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Perfil e identidade na equipa, escritório, equipa, aparência, agenda e lembretes, segurança e privacidade, modelos de dossier, instalação, cópias de segurança, dados fictícios.</w:t>
            </w:r>
          </w:p>
        </w:tc>
      </w:tr>
    </w:tbl>
    <w:p>
      <w:pPr>
        <w:pStyle w:val="Heading1"/>
        <w:pageBreakBefore/>
      </w:pPr>
      <w:r>
        <w:t xml:space="preserve">3. Começar</w:t>
      </w:r>
    </w:p>
    <w:p>
      <w:pPr>
        <w:pStyle w:val="Heading2"/>
      </w:pPr>
      <w:r>
        <w:t xml:space="preserve">3.1 Abrir a aplicação</w:t>
      </w:r>
    </w:p>
    <w:p>
      <w:pPr>
        <w:spacing w:after="120" w:line="276"/>
      </w:pPr>
      <w:r>
        <w:t xml:space="preserve">A aplicação está disponível em </w:t>
      </w:r>
      <w:hyperlink w:history="1" r:id="rIddzzarfmkzgzxhbsevomoi">
        <w:r>
          <w:rPr>
            <w:rStyle w:val="Hyperlink"/>
          </w:rPr>
          <w:t xml:space="preserve">https://nelsonsous.github.io/balcao-sucessoes/</w:t>
        </w:r>
      </w:hyperlink>
      <w:r>
        <w:t xml:space="preserve">. Funciona nos navegadores atuais (Chrome, Edge, Safari e Firefox), em computador, tablet e telemóvel. Na primeira visita os ficheiros necessários ficam guardados no dispositivo; a partir daí a aplicação abre mesmo sem ligação à internet.</w:t>
      </w:r>
    </w:p>
    <w:p>
      <w:pPr>
        <w:pStyle w:val="Heading2"/>
      </w:pPr>
      <w:r>
        <w:t xml:space="preserve">3.2 Instalar como aplicação</w:t>
      </w:r>
    </w:p>
    <w:p>
      <w:pPr>
        <w:spacing w:after="120" w:line="276"/>
      </w:pPr>
      <w:r>
        <w:t xml:space="preserve">Instalar é opcional, mas recomendado: a aplicação passa a ter ícone e janela próprios, abre mais depressa e mostra no ícone o número de pendentes.</w:t>
      </w:r>
    </w:p>
    <w:tbl>
      <w:tblPr>
        <w:tblW w:type="dxa" w:w="9638"/>
        <w:tblBorders>
          <w:top w:val="single" w:color="D9DCE8" w:sz="4"/>
          <w:left w:val="single" w:color="D9DCE8" w:sz="4"/>
          <w:bottom w:val="single" w:color="D9DCE8" w:sz="4"/>
          <w:right w:val="single" w:color="D9DCE8" w:sz="4"/>
          <w:insideH w:val="single" w:color="D9DCE8" w:sz="4"/>
          <w:insideV w:val="single" w:color="D9DCE8" w:sz="4"/>
        </w:tblBorders>
      </w:tblPr>
      <w:tblGrid>
        <w:gridCol w:w="2800"/>
        <w:gridCol w:w="6838"/>
      </w:tblGrid>
      <w:tr>
        <w:trPr>
          <w:tblHeader/>
        </w:trPr>
        <w:tc>
          <w:tcPr>
            <w:tcW w:type="dxa" w:w="2800"/>
            <w:shd w:fill="EEF0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2D39B9"/>
                <w:sz w:val="19"/>
                <w:szCs w:val="19"/>
              </w:rPr>
              <w:t xml:space="preserve">Dispositivo</w:t>
            </w:r>
          </w:p>
        </w:tc>
        <w:tc>
          <w:tcPr>
            <w:tcW w:type="dxa" w:w="6838"/>
            <w:shd w:fill="EEF0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2D39B9"/>
                <w:sz w:val="19"/>
                <w:szCs w:val="19"/>
              </w:rPr>
              <w:t xml:space="preserve">Como instalar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Computador (Chrome, Edge)</w:t>
            </w:r>
          </w:p>
        </w:tc>
        <w:tc>
          <w:tcPr>
            <w:tcW w:type="dxa" w:w="68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Clique em </w:t>
            </w:r>
            <w:r>
              <w:rPr>
                <w:b/>
                <w:bCs/>
                <w:sz w:val="20"/>
                <w:szCs w:val="20"/>
              </w:rPr>
              <w:t xml:space="preserve">Instalar</w:t>
            </w:r>
            <w:r>
              <w:rPr>
                <w:sz w:val="20"/>
                <w:szCs w:val="20"/>
              </w:rPr>
              <w:t xml:space="preserve"> na barra lateral (bloco «Instalar a aplicação») ou no ícone de instalação na barra de endereço do navegador.</w:t>
            </w:r>
          </w:p>
        </w:tc>
      </w:tr>
      <w:tr>
        <w:trPr>
          <w:cantSplit/>
        </w:trPr>
        <w:tc>
          <w:tcPr>
            <w:tcW w:type="dxa" w:w="28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Android (Chrome)</w:t>
            </w:r>
          </w:p>
        </w:tc>
        <w:tc>
          <w:tcPr>
            <w:tcW w:type="dxa" w:w="6838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Menu ⋮ → </w:t>
            </w:r>
            <w:r>
              <w:rPr>
                <w:b/>
                <w:bCs/>
                <w:sz w:val="20"/>
                <w:szCs w:val="20"/>
              </w:rPr>
              <w:t xml:space="preserve">Instalar aplicação</w:t>
            </w:r>
            <w:r>
              <w:rPr>
                <w:sz w:val="20"/>
                <w:szCs w:val="20"/>
              </w:rPr>
              <w:t xml:space="preserve"> (ou «Adicionar ao ecrã principal»).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iPhone e iPad (Safari)</w:t>
            </w:r>
          </w:p>
        </w:tc>
        <w:tc>
          <w:tcPr>
            <w:tcW w:type="dxa" w:w="68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Botão </w:t>
            </w:r>
            <w:r>
              <w:rPr>
                <w:b/>
                <w:bCs/>
                <w:sz w:val="20"/>
                <w:szCs w:val="20"/>
              </w:rPr>
              <w:t xml:space="preserve">Partilhar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b/>
                <w:bCs/>
                <w:sz w:val="20"/>
                <w:szCs w:val="20"/>
              </w:rPr>
              <w:t xml:space="preserve">Adicionar ao ecrã principal</w:t>
            </w:r>
            <w:r>
              <w:rPr>
                <w:sz w:val="20"/>
                <w:szCs w:val="20"/>
              </w:rPr>
              <w:t xml:space="preserve">. A aplicação mostra um guia com estes passos quando detecta o Safari.</w:t>
            </w:r>
          </w:p>
        </w:tc>
      </w:tr>
      <w:tr>
        <w:trPr>
          <w:cantSplit/>
        </w:trPr>
        <w:tc>
          <w:tcPr>
            <w:tcW w:type="dxa" w:w="28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Computador (Safari, macOS)</w:t>
            </w:r>
          </w:p>
        </w:tc>
        <w:tc>
          <w:tcPr>
            <w:tcW w:type="dxa" w:w="6838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Menu </w:t>
            </w:r>
            <w:r>
              <w:rPr>
                <w:b/>
                <w:bCs/>
                <w:sz w:val="20"/>
                <w:szCs w:val="20"/>
              </w:rPr>
              <w:t xml:space="preserve">Ficheiro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b/>
                <w:bCs/>
                <w:sz w:val="20"/>
                <w:szCs w:val="20"/>
              </w:rPr>
              <w:t xml:space="preserve">Adicionar à Dock</w:t>
            </w:r>
            <w:r>
              <w:rPr>
                <w:sz w:val="20"/>
                <w:szCs w:val="20"/>
              </w:rPr>
              <w:t xml:space="preserve">.</w:t>
            </w:r>
          </w:p>
        </w:tc>
      </w:tr>
    </w:tbl>
    <w:p>
      <w:pPr>
        <w:pStyle w:val="Heading2"/>
      </w:pPr>
      <w:r>
        <w:t xml:space="preserve">3.3 Primeiro arranque: boas-vindas</w:t>
      </w:r>
    </w:p>
    <w:p>
      <w:pPr>
        <w:spacing w:after="120" w:line="276"/>
      </w:pPr>
      <w:r>
        <w:t xml:space="preserve">No primeiro arranque a aplicação pergunta o seu nome (usado na saudação e no histórico das alterações) e oferece duas formas de começar: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Explorar com dados fictícios</w:t>
      </w:r>
      <w:r>
        <w:t xml:space="preserve"> — carrega cinco dossiers de demonstração (interessados, bens, dívidas, notas, contactos e eventos) para conhecer a aplicação. Podem ser removidos a qualquer momento em </w:t>
      </w:r>
      <w:r>
        <w:rPr>
          <w:b/>
          <w:bCs/>
        </w:rPr>
        <w:t xml:space="preserve">Definições → Dados e privacidade → Remover dados de demonstração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Começar do zero</w:t>
      </w:r>
      <w:r>
        <w:t xml:space="preserve"> — a aplicação abre vazia, pronta para o primeiro dossier real.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180"/>
          <w:sz w:val="18"/>
          <w:szCs w:val="18"/>
        </w:rPr>
        <w:t xml:space="preserve">Figura 1 — Ecrã de boas-vindas no primeiro arranque.</w:t>
      </w:r>
    </w:p>
    <w:p>
      <w:pPr>
        <w:pStyle w:val="Heading2"/>
      </w:pPr>
      <w:r>
        <w:t xml:space="preserve">3.4 Navegar na aplicação</w:t>
      </w:r>
    </w:p>
    <w:p>
      <w:pPr>
        <w:spacing w:after="120" w:line="276"/>
      </w:pPr>
      <w:r>
        <w:t xml:space="preserve">No computador, a </w:t>
      </w:r>
      <w:r>
        <w:rPr>
          <w:b/>
          <w:bCs/>
        </w:rPr>
        <w:t xml:space="preserve">barra lateral</w:t>
      </w:r>
      <w:r>
        <w:t xml:space="preserve"> organiza a aplicação em três grupos:</w:t>
      </w:r>
    </w:p>
    <w:tbl>
      <w:tblPr>
        <w:tblW w:type="dxa" w:w="9638"/>
        <w:tblBorders>
          <w:top w:val="single" w:color="D9DCE8" w:sz="4"/>
          <w:left w:val="single" w:color="D9DCE8" w:sz="4"/>
          <w:bottom w:val="single" w:color="D9DCE8" w:sz="4"/>
          <w:right w:val="single" w:color="D9DCE8" w:sz="4"/>
          <w:insideH w:val="single" w:color="D9DCE8" w:sz="4"/>
          <w:insideV w:val="single" w:color="D9DCE8" w:sz="4"/>
        </w:tblBorders>
      </w:tblPr>
      <w:tblGrid>
        <w:gridCol w:w="1700"/>
        <w:gridCol w:w="3900"/>
        <w:gridCol w:w="4038"/>
      </w:tblGrid>
      <w:tr>
        <w:trPr>
          <w:tblHeader/>
        </w:trPr>
        <w:tc>
          <w:tcPr>
            <w:tcW w:type="dxa" w:w="1700"/>
            <w:shd w:fill="EEF0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2D39B9"/>
                <w:sz w:val="19"/>
                <w:szCs w:val="19"/>
              </w:rPr>
              <w:t xml:space="preserve">Grupo</w:t>
            </w:r>
          </w:p>
        </w:tc>
        <w:tc>
          <w:tcPr>
            <w:tcW w:type="dxa" w:w="3900"/>
            <w:shd w:fill="EEF0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2D39B9"/>
                <w:sz w:val="19"/>
                <w:szCs w:val="19"/>
              </w:rPr>
              <w:t xml:space="preserve">Entradas</w:t>
            </w:r>
          </w:p>
        </w:tc>
        <w:tc>
          <w:tcPr>
            <w:tcW w:type="dxa" w:w="4038"/>
            <w:shd w:fill="EEF0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2D39B9"/>
                <w:sz w:val="19"/>
                <w:szCs w:val="19"/>
              </w:rPr>
              <w:t xml:space="preserve">Para quê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Trabalho</w:t>
            </w:r>
          </w:p>
        </w:tc>
        <w:tc>
          <w:tcPr>
            <w:tcW w:type="dxa" w:w="3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Visão geral · Dossiers · Agenda · O que está a bloquear? · As minhas tarefas</w:t>
            </w:r>
          </w:p>
        </w:tc>
        <w:tc>
          <w:tcPr>
            <w:tcW w:type="dxa" w:w="40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O dia a dia: painel, carteira de dossiers, calendário, bloqueios e a sua lista pessoal.</w:t>
            </w:r>
          </w:p>
        </w:tc>
      </w:tr>
      <w:tr>
        <w:trPr>
          <w:cantSplit/>
        </w:trPr>
        <w:tc>
          <w:tcPr>
            <w:tcW w:type="dxa" w:w="17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Ferramentas</w:t>
            </w:r>
          </w:p>
        </w:tc>
        <w:tc>
          <w:tcPr>
            <w:tcW w:type="dxa" w:w="39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Calculadora sucessória · Minutas</w:t>
            </w:r>
          </w:p>
        </w:tc>
        <w:tc>
          <w:tcPr>
            <w:tcW w:type="dxa" w:w="4038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Cálculo de quotas e produção de documentos.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Escritório</w:t>
            </w:r>
          </w:p>
        </w:tc>
        <w:tc>
          <w:tcPr>
            <w:tcW w:type="dxa" w:w="3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Definições</w:t>
            </w:r>
          </w:p>
        </w:tc>
        <w:tc>
          <w:tcPr>
            <w:tcW w:type="dxa" w:w="40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Perfil, equipa, aparência, lembretes, cópias de segurança.</w:t>
            </w:r>
          </w:p>
        </w:tc>
      </w:tr>
    </w:tbl>
    <w:p>
      <w:pPr>
        <w:spacing w:after="120" w:line="276"/>
      </w:pPr>
      <w:r>
        <w:t xml:space="preserve">No telemóvel, as entradas principais ficam na </w:t>
      </w:r>
      <w:r>
        <w:rPr>
          <w:b/>
          <w:bCs/>
        </w:rPr>
        <w:t xml:space="preserve">barra inferior</w:t>
      </w:r>
      <w:r>
        <w:t xml:space="preserve"> (Início, Dossiers, Nova, Agenda, Bloqueios) e as </w:t>
      </w:r>
      <w:r>
        <w:rPr>
          <w:b/>
          <w:bCs/>
        </w:rPr>
        <w:t xml:space="preserve">Definições</w:t>
      </w:r>
      <w:r>
        <w:t xml:space="preserve"> no canto superior direito.</w:t>
      </w:r>
    </w:p>
    <w:p>
      <w:pPr>
        <w:pStyle w:val="Heading3"/>
      </w:pPr>
      <w:r>
        <w:t xml:space="preserve">Pesquisa global</w:t>
      </w:r>
    </w:p>
    <w:p>
      <w:pPr>
        <w:spacing w:after="120" w:line="276"/>
      </w:pPr>
      <w:r>
        <w:t xml:space="preserve">A caixa de pesquisa no topo (tecla </w:t>
      </w:r>
      <w:r>
        <w:rPr>
          <w:rFonts w:ascii="Consolas" w:cs="Consolas" w:eastAsia="Consolas" w:hAnsi="Consolas"/>
          <w:color w:val="2D39B9"/>
          <w:sz w:val="19"/>
          <w:szCs w:val="19"/>
        </w:rPr>
        <w:t xml:space="preserve">/</w:t>
      </w:r>
      <w:r>
        <w:t xml:space="preserve"> para a focar) encontra dossiers pelo nome, referência, nome do falecido, cliente ou interessado. Use as setas ↑ ↓ para percorrer os resultados, </w:t>
      </w:r>
      <w:r>
        <w:rPr>
          <w:rFonts w:ascii="Consolas" w:cs="Consolas" w:eastAsia="Consolas" w:hAnsi="Consolas"/>
          <w:color w:val="2D39B9"/>
          <w:sz w:val="19"/>
          <w:szCs w:val="19"/>
        </w:rPr>
        <w:t xml:space="preserve">Enter</w:t>
      </w:r>
      <w:r>
        <w:t xml:space="preserve"> para abrir e </w:t>
      </w:r>
      <w:r>
        <w:rPr>
          <w:rFonts w:ascii="Consolas" w:cs="Consolas" w:eastAsia="Consolas" w:hAnsi="Consolas"/>
          <w:color w:val="2D39B9"/>
          <w:sz w:val="19"/>
          <w:szCs w:val="19"/>
        </w:rPr>
        <w:t xml:space="preserve">Esc</w:t>
      </w:r>
      <w:r>
        <w:t xml:space="preserve"> para fechar.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180"/>
          <w:sz w:val="18"/>
          <w:szCs w:val="18"/>
        </w:rPr>
        <w:t xml:space="preserve">Figura 2 — Pesquisa global a partir do painel.</w:t>
      </w:r>
    </w:p>
    <w:p>
      <w:pPr>
        <w:pStyle w:val="Heading3"/>
      </w:pPr>
      <w:r>
        <w:t xml:space="preserve">Paleta de comandos</w:t>
      </w:r>
    </w:p>
    <w:p>
      <w:pPr>
        <w:spacing w:after="120" w:line="276"/>
      </w:pPr>
      <w:r>
        <w:t xml:space="preserve">Com </w:t>
      </w:r>
      <w:r>
        <w:rPr>
          <w:rFonts w:ascii="Consolas" w:cs="Consolas" w:eastAsia="Consolas" w:hAnsi="Consolas"/>
          <w:color w:val="2D39B9"/>
          <w:sz w:val="19"/>
          <w:szCs w:val="19"/>
        </w:rPr>
        <w:t xml:space="preserve">⌘K</w:t>
      </w:r>
      <w:r>
        <w:t xml:space="preserve"> (Mac) ou </w:t>
      </w:r>
      <w:r>
        <w:rPr>
          <w:rFonts w:ascii="Consolas" w:cs="Consolas" w:eastAsia="Consolas" w:hAnsi="Consolas"/>
          <w:color w:val="2D39B9"/>
          <w:sz w:val="19"/>
          <w:szCs w:val="19"/>
        </w:rPr>
        <w:t xml:space="preserve">Ctrl+K</w:t>
      </w:r>
      <w:r>
        <w:t xml:space="preserve"> (Windows/Linux) — ou o botão ⌘ no topo — abre-se a </w:t>
      </w:r>
      <w:r>
        <w:rPr>
          <w:b/>
          <w:bCs/>
        </w:rPr>
        <w:t xml:space="preserve">paleta de comandos</w:t>
      </w:r>
      <w:r>
        <w:t xml:space="preserve">: ir para qualquer página, abrir um dossier (por nome, referência, falecido, cliente ou etiqueta), uma tarefa em aberto ou uma minuta (abre logo o compositor) e executar ações (nova sucessão, exportar cópia de segurança, tema, bloquear, modo privacidade). A pesquisa ignora acentos, aceita palavras em qualquer ordem e iniciais («vg» → Visão geral); os últimos comandos usados aparecem primeiro.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180"/>
          <w:sz w:val="18"/>
          <w:szCs w:val="18"/>
        </w:rPr>
        <w:t xml:space="preserve">Figura 3 — Paleta de comandos com uma pesquisa por dossier e tarefas.</w:t>
      </w:r>
    </w:p>
    <w:p>
      <w:pPr>
        <w:pStyle w:val="Heading3"/>
      </w:pPr>
      <w:r>
        <w:t xml:space="preserve">Atalhos de teclado</w:t>
      </w:r>
    </w:p>
    <w:tbl>
      <w:tblPr>
        <w:tblW w:type="dxa" w:w="9638"/>
        <w:tblBorders>
          <w:top w:val="single" w:color="D9DCE8" w:sz="4"/>
          <w:left w:val="single" w:color="D9DCE8" w:sz="4"/>
          <w:bottom w:val="single" w:color="D9DCE8" w:sz="4"/>
          <w:right w:val="single" w:color="D9DCE8" w:sz="4"/>
          <w:insideH w:val="single" w:color="D9DCE8" w:sz="4"/>
          <w:insideV w:val="single" w:color="D9DCE8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shd w:fill="EEF0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2D39B9"/>
                <w:sz w:val="19"/>
                <w:szCs w:val="19"/>
              </w:rPr>
              <w:t xml:space="preserve">Tecla</w:t>
            </w:r>
          </w:p>
        </w:tc>
        <w:tc>
          <w:tcPr>
            <w:tcW w:type="dxa" w:w="7038"/>
            <w:shd w:fill="EEF0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2D39B9"/>
                <w:sz w:val="19"/>
                <w:szCs w:val="19"/>
              </w:rPr>
              <w:t xml:space="preserve">Ação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2D39B9"/>
                <w:sz w:val="20"/>
                <w:szCs w:val="20"/>
              </w:rPr>
              <w:t xml:space="preserve">⌘K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color w:val="2D39B9"/>
                <w:sz w:val="20"/>
                <w:szCs w:val="20"/>
              </w:rPr>
              <w:t xml:space="preserve">Ctrl+K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Abrir a paleta de comandos.</w:t>
            </w:r>
          </w:p>
        </w:tc>
      </w:tr>
      <w:tr>
        <w:trPr>
          <w:cantSplit/>
        </w:trPr>
        <w:tc>
          <w:tcPr>
            <w:tcW w:type="dxa" w:w="26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2D39B9"/>
                <w:sz w:val="20"/>
                <w:szCs w:val="20"/>
              </w:rPr>
              <w:t xml:space="preserve">/</w:t>
            </w:r>
          </w:p>
        </w:tc>
        <w:tc>
          <w:tcPr>
            <w:tcW w:type="dxa" w:w="7038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Focar a pesquisa global.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2D39B9"/>
                <w:sz w:val="20"/>
                <w:szCs w:val="20"/>
              </w:rPr>
              <w:t xml:space="preserve">N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Nova sucessão (fora de campos de texto).</w:t>
            </w:r>
          </w:p>
        </w:tc>
      </w:tr>
      <w:tr>
        <w:trPr>
          <w:cantSplit/>
        </w:trPr>
        <w:tc>
          <w:tcPr>
            <w:tcW w:type="dxa" w:w="26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2D39B9"/>
                <w:sz w:val="20"/>
                <w:szCs w:val="20"/>
              </w:rPr>
              <w:t xml:space="preserve">Esc</w:t>
            </w:r>
          </w:p>
        </w:tc>
        <w:tc>
          <w:tcPr>
            <w:tcW w:type="dxa" w:w="7038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Fechar gavetas, janelas e a pesquisa.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2D39B9"/>
                <w:sz w:val="20"/>
                <w:szCs w:val="20"/>
              </w:rPr>
              <w:t xml:space="preserve">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nsolas" w:cs="Consolas" w:eastAsia="Consolas" w:hAnsi="Consolas"/>
                <w:color w:val="2D39B9"/>
                <w:sz w:val="20"/>
                <w:szCs w:val="20"/>
              </w:rPr>
              <w:t xml:space="preserve">↓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nsolas" w:cs="Consolas" w:eastAsia="Consolas" w:hAnsi="Consolas"/>
                <w:color w:val="2D39B9"/>
                <w:sz w:val="20"/>
                <w:szCs w:val="20"/>
              </w:rPr>
              <w:t xml:space="preserve">Enter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Percorrer e abrir resultados da pesquisa.</w:t>
            </w:r>
          </w:p>
        </w:tc>
      </w:tr>
    </w:tbl>
    <w:p>
      <w:pPr>
        <w:pStyle w:val="Heading3"/>
      </w:pPr>
      <w:r>
        <w:t xml:space="preserve">Indicadores no topo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Sem ligação</w:t>
      </w:r>
      <w:r>
        <w:t xml:space="preserve"> — aparece quando não há internet; a aplicação continua a funcionar normalmente.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Prazos ultrapassados</w:t>
      </w:r>
      <w:r>
        <w:t xml:space="preserve"> — contador vermelho com o número de tarefas com prazo ultrapassado em dossiers ativos; abre «O que está a bloquear?».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Nova sucessão</w:t>
      </w:r>
      <w:r>
        <w:t xml:space="preserve"> — botão sempre disponível para criar um dossier.</w:t>
      </w:r>
    </w:p>
    <w:p>
      <w:pPr>
        <w:pStyle w:val="Heading1"/>
        <w:pageBreakBefore/>
      </w:pPr>
      <w:r>
        <w:t xml:space="preserve">4. Visão geral (painel)</w:t>
      </w:r>
    </w:p>
    <w:p>
      <w:pPr>
        <w:spacing w:after="120" w:line="276"/>
      </w:pPr>
      <w:r>
        <w:t xml:space="preserve">A </w:t>
      </w:r>
      <w:r>
        <w:rPr>
          <w:b/>
          <w:bCs/>
        </w:rPr>
        <w:t xml:space="preserve">Visão geral</w:t>
      </w:r>
      <w:r>
        <w:t xml:space="preserve"> é a página inicial. Reúne, numa só vista, o estado da carteira de dossiers e o que exige atenção hoje.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180"/>
          <w:sz w:val="18"/>
          <w:szCs w:val="18"/>
        </w:rPr>
        <w:t xml:space="preserve">Figura 4 — Painel «Visão geral» com dados fictícios.</w:t>
      </w:r>
    </w:p>
    <w:tbl>
      <w:tblPr>
        <w:tblW w:type="dxa" w:w="9638"/>
        <w:tblBorders>
          <w:top w:val="single" w:color="D9DCE8" w:sz="4"/>
          <w:left w:val="single" w:color="D9DCE8" w:sz="4"/>
          <w:bottom w:val="single" w:color="D9DCE8" w:sz="4"/>
          <w:right w:val="single" w:color="D9DCE8" w:sz="4"/>
          <w:insideH w:val="single" w:color="D9DCE8" w:sz="4"/>
          <w:insideV w:val="single" w:color="D9DCE8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shd w:fill="EEF0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2D39B9"/>
                <w:sz w:val="19"/>
                <w:szCs w:val="19"/>
              </w:rPr>
              <w:t xml:space="preserve">Bloco</w:t>
            </w:r>
          </w:p>
        </w:tc>
        <w:tc>
          <w:tcPr>
            <w:tcW w:type="dxa" w:w="7038"/>
            <w:shd w:fill="EEF0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2D39B9"/>
                <w:sz w:val="19"/>
                <w:szCs w:val="19"/>
              </w:rPr>
              <w:t xml:space="preserve">Conteúdo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Indicadores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Dossiers em curso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b/>
                <w:bCs/>
                <w:sz w:val="20"/>
                <w:szCs w:val="20"/>
              </w:rPr>
              <w:t xml:space="preserve">A precisar de atenção</w:t>
            </w:r>
            <w:r>
              <w:rPr>
                <w:sz w:val="20"/>
                <w:szCs w:val="20"/>
              </w:rPr>
              <w:t xml:space="preserve"> (prazos ou tarefas críticas), </w:t>
            </w:r>
            <w:r>
              <w:rPr>
                <w:b/>
                <w:bCs/>
                <w:sz w:val="20"/>
                <w:szCs w:val="20"/>
              </w:rPr>
              <w:t xml:space="preserve">Em andamento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b/>
                <w:bCs/>
                <w:sz w:val="20"/>
                <w:szCs w:val="20"/>
              </w:rPr>
              <w:t xml:space="preserve">Concluídos</w:t>
            </w:r>
            <w:r>
              <w:rPr>
                <w:sz w:val="20"/>
                <w:szCs w:val="20"/>
              </w:rPr>
              <w:t xml:space="preserve"> e </w:t>
            </w:r>
            <w:r>
              <w:rPr>
                <w:b/>
                <w:bCs/>
                <w:sz w:val="20"/>
                <w:szCs w:val="20"/>
              </w:rPr>
              <w:t xml:space="preserve">Prazos (30 dias)</w:t>
            </w:r>
            <w:r>
              <w:rPr>
                <w:sz w:val="20"/>
                <w:szCs w:val="20"/>
              </w:rPr>
              <w:t xml:space="preserve">. Cada cartão abre a lista correspondente.</w:t>
            </w:r>
          </w:p>
        </w:tc>
      </w:tr>
      <w:tr>
        <w:trPr>
          <w:cantSplit/>
        </w:trPr>
        <w:tc>
          <w:tcPr>
            <w:tcW w:type="dxa" w:w="26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Próximos 7 dias</w:t>
            </w:r>
          </w:p>
        </w:tc>
        <w:tc>
          <w:tcPr>
            <w:tcW w:type="dxa" w:w="7038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Faixa com um quadrado por dia (o de hoje destacado) e o número de prazos e eventos; inclui os atrasados. Clique num dia para o abrir na agenda.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Próximas ações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A próxima ação de cada dossier, ordenada por urgência: a tarefa mais crítica ou com prazo mais próximo. Clique para abrir a tarefa.</w:t>
            </w:r>
          </w:p>
        </w:tc>
      </w:tr>
      <w:tr>
        <w:trPr>
          <w:cantSplit/>
        </w:trPr>
        <w:tc>
          <w:tcPr>
            <w:tcW w:type="dxa" w:w="26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Agenda próxima</w:t>
            </w:r>
          </w:p>
        </w:tc>
        <w:tc>
          <w:tcPr>
            <w:tcW w:type="dxa" w:w="7038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Prazos, escrituras, reuniões e contactos a retomar — ultrapassados e próximos 30 dias.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Dossiers que precisam de atenção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Vista rápida dos dossiers com trabalho por acompanhar, com semáforo e próxima ação.</w:t>
            </w:r>
          </w:p>
        </w:tc>
      </w:tr>
      <w:tr>
        <w:trPr>
          <w:cantSplit/>
        </w:trPr>
        <w:tc>
          <w:tcPr>
            <w:tcW w:type="dxa" w:w="26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Evolução global</w:t>
            </w:r>
          </w:p>
        </w:tc>
        <w:tc>
          <w:tcPr>
            <w:tcW w:type="dxa" w:w="7038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Dossiers ativos por nível de conclusão.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Onde estão os dossiers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Fase atual de cada dossier ativo (a primeira fase com trabalho em aberto).</w:t>
            </w:r>
          </w:p>
        </w:tc>
      </w:tr>
      <w:tr>
        <w:trPr>
          <w:cantSplit/>
        </w:trPr>
        <w:tc>
          <w:tcPr>
            <w:tcW w:type="dxa" w:w="26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Carga por responsável</w:t>
            </w:r>
          </w:p>
        </w:tc>
        <w:tc>
          <w:tcPr>
            <w:tcW w:type="dxa" w:w="7038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Dossiers ativos, tarefas em aberto e prazos ultrapassados por pessoa da equipa.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Contactos a retomar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Lembretes deixados no registo de contactos (até 7 dias).</w:t>
            </w:r>
          </w:p>
        </w:tc>
      </w:tr>
      <w:tr>
        <w:trPr>
          <w:cantSplit/>
        </w:trPr>
        <w:tc>
          <w:tcPr>
            <w:tcW w:type="dxa" w:w="26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Ferramentas</w:t>
            </w:r>
          </w:p>
        </w:tc>
        <w:tc>
          <w:tcPr>
            <w:tcW w:type="dxa" w:w="7038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Atalhos para a Calculadora sucessória, as Minutas e a Agenda.</w:t>
            </w:r>
          </w:p>
        </w:tc>
      </w:tr>
    </w:tbl>
    <w:p>
      <w:pPr>
        <w:keepNext/>
        <w:spacing w:after="60" w:before="120"/>
        <w:jc w:val="center"/>
      </w:pPr>
      <w:r>
        <w:drawing>
          <wp:inline distT="0" distB="0" distL="0" distR="0">
            <wp:extent cx="4181475" cy="666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1475" cy="666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180"/>
          <w:sz w:val="18"/>
          <w:szCs w:val="18"/>
        </w:rPr>
        <w:t xml:space="preserve">Figura 5 — Painel completo (página inteira).</w:t>
      </w:r>
    </w:p>
    <w:p>
      <w:pPr>
        <w:pStyle w:val="Heading1"/>
        <w:pageBreakBefore/>
      </w:pPr>
      <w:r>
        <w:t xml:space="preserve">5. Dossiers</w:t>
      </w:r>
    </w:p>
    <w:p>
      <w:pPr>
        <w:pStyle w:val="Heading2"/>
      </w:pPr>
      <w:r>
        <w:t xml:space="preserve">5.1 Lista de dossiers</w:t>
      </w:r>
    </w:p>
    <w:p>
      <w:pPr>
        <w:spacing w:after="120" w:line="276"/>
      </w:pPr>
      <w:r>
        <w:t xml:space="preserve">A página </w:t>
      </w:r>
      <w:r>
        <w:rPr>
          <w:b/>
          <w:bCs/>
        </w:rPr>
        <w:t xml:space="preserve">Dossiers</w:t>
      </w:r>
      <w:r>
        <w:t xml:space="preserve"> mostra todos os processos em cartões ou em tabela. Cada cartão indica a referência (</w:t>
      </w:r>
      <w:r>
        <w:rPr>
          <w:rFonts w:ascii="Consolas" w:cs="Consolas" w:eastAsia="Consolas" w:hAnsi="Consolas"/>
          <w:color w:val="2D39B9"/>
          <w:sz w:val="19"/>
          <w:szCs w:val="19"/>
        </w:rPr>
        <w:t xml:space="preserve">BS-AAAA-NNN</w:t>
      </w:r>
      <w:r>
        <w:t xml:space="preserve">), o nome, o falecido, o cliente, o semáforo, a percentagem de conclusão, a fase atual, a próxima ação e o responsável.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Pesquisa</w:t>
      </w:r>
      <w:r>
        <w:t xml:space="preserve"> por nome, referência, falecido, cliente ou etiqueta.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Filtros rápidos</w:t>
      </w:r>
      <w:r>
        <w:t xml:space="preserve">: Todos · Atenção · Em andamento · 100 %. Filtros adicionais por estado do dossier (Ativo, Suspenso, Concluído, Arquivado), responsável e prioridade.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Ordenação</w:t>
      </w:r>
      <w:r>
        <w:t xml:space="preserve">: atualizados recentemente, referência, nome, prazo mais próximo, progresso.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Vista</w:t>
      </w:r>
      <w:r>
        <w:t xml:space="preserve">: cartões, tabela (mais densa, útil com muitos dossiers) ou </w:t>
      </w:r>
      <w:r>
        <w:rPr>
          <w:b/>
          <w:bCs/>
        </w:rPr>
        <w:t xml:space="preserve">quadro por fase</w:t>
      </w:r>
      <w:r>
        <w:t xml:space="preserve"> — uma coluna por fase atual, com semáforo, progresso, próxima ação e responsável.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CSV</w:t>
      </w:r>
      <w:r>
        <w:t xml:space="preserve">: exporta a lista filtrada para Excel (20 colunas).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180"/>
          <w:sz w:val="18"/>
          <w:szCs w:val="18"/>
        </w:rPr>
        <w:t xml:space="preserve">Figura 6 — Lista de dossiers em cartões.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180"/>
          <w:sz w:val="18"/>
          <w:szCs w:val="18"/>
        </w:rPr>
        <w:t xml:space="preserve">Figura 7 — Dossiers em quadro por fase.</w:t>
      </w:r>
    </w:p>
    <w:p>
      <w:pPr>
        <w:pStyle w:val="Heading2"/>
      </w:pPr>
      <w:r>
        <w:t xml:space="preserve">5.2 Criar uma nova sucessão</w:t>
      </w:r>
    </w:p>
    <w:p>
      <w:pPr>
        <w:spacing w:after="120" w:line="276"/>
      </w:pPr>
      <w:r>
        <w:t xml:space="preserve">Clique em </w:t>
      </w:r>
      <w:r>
        <w:rPr>
          <w:b/>
          <w:bCs/>
        </w:rPr>
        <w:t xml:space="preserve">Nova sucessão</w:t>
      </w:r>
      <w:r>
        <w:t xml:space="preserve"> (barra lateral, painel ou tecla </w:t>
      </w:r>
      <w:r>
        <w:rPr>
          <w:rFonts w:ascii="Consolas" w:cs="Consolas" w:eastAsia="Consolas" w:hAnsi="Consolas"/>
          <w:color w:val="2D39B9"/>
          <w:sz w:val="19"/>
          <w:szCs w:val="19"/>
        </w:rPr>
        <w:t xml:space="preserve">N</w:t>
      </w:r>
      <w:r>
        <w:t xml:space="preserve">). O assistente conduz em sete passos e mostra, à direita, uma </w:t>
      </w:r>
      <w:r>
        <w:rPr>
          <w:b/>
          <w:bCs/>
        </w:rPr>
        <w:t xml:space="preserve">pré-visualização ao vivo</w:t>
      </w:r>
      <w:r>
        <w:t xml:space="preserve"> da checklist que vai ser gerada (número de tarefas por fase).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Dados do dossier</w:t>
      </w:r>
      <w:r>
        <w:t xml:space="preserve"> — nome do dossier, responsável (pode criar pessoas da equipa aqui mesmo), prioridade e etiquetas; </w:t>
      </w:r>
      <w:r>
        <w:rPr>
          <w:b/>
          <w:bCs/>
        </w:rPr>
        <w:t xml:space="preserve">De cujus e óbito</w:t>
      </w:r>
      <w:r>
        <w:t xml:space="preserve"> — nome completo, data e local do óbito, NIF, último domicílio; </w:t>
      </w:r>
      <w:r>
        <w:rPr>
          <w:b/>
          <w:bCs/>
        </w:rPr>
        <w:t xml:space="preserve">Cliente</w:t>
      </w:r>
      <w:r>
        <w:t xml:space="preserve"> — nome, email, telefone e morada.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Óbito e conexões</w:t>
      </w:r>
      <w:r>
        <w:t xml:space="preserve"> — onde ocorreu o óbito e que ligações internacionais existem (nacionalidade, residência habitual, bens no estrangeiro).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Família</w:t>
      </w:r>
      <w:r>
        <w:t xml:space="preserve"> — cônjuge ou unido de facto, regime de bens, descendentes (e menores), ascendentes, irmãos e outros parentes.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Disposições</w:t>
      </w:r>
      <w:r>
        <w:t xml:space="preserve"> — testamento, doações em vida, seguros de vida, habilitação já feita.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Património e passivo</w:t>
      </w:r>
      <w:r>
        <w:t xml:space="preserve"> — tipos de bens (imóveis, contas, participações, veículos, aforro, estrangeiro, outros), dívidas e o que falta apurar.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Partilha</w:t>
      </w:r>
      <w:r>
        <w:t xml:space="preserve"> — perspetiva de acordo entre os interessados e via previsível (notarial, judicial, inventário).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Rever e criar</w:t>
      </w:r>
      <w:r>
        <w:t xml:space="preserve"> — resumo de todas as respostas com atalhos para as corrigir; </w:t>
      </w:r>
      <w:r>
        <w:rPr>
          <w:b/>
          <w:bCs/>
        </w:rPr>
        <w:t xml:space="preserve">Criar dossier</w:t>
      </w:r>
      <w:r>
        <w:t xml:space="preserve"> gera a checklist.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180"/>
          <w:sz w:val="18"/>
          <w:szCs w:val="18"/>
        </w:rPr>
        <w:t xml:space="preserve">Figura 8 — Assistente «Nova sucessão» com pré-visualização da checklist.</w:t>
      </w:r>
    </w:p>
    <w:p>
      <w:pPr>
        <w:pStyle w:val="Heading3"/>
      </w:pPr>
      <w:r>
        <w:t xml:space="preserve">Modelos de dossier</w:t>
      </w:r>
    </w:p>
    <w:p>
      <w:pPr>
        <w:spacing w:after="120" w:line="276"/>
      </w:pPr>
      <w:r>
        <w:t xml:space="preserve">No primeiro passo, </w:t>
      </w:r>
      <w:r>
        <w:rPr>
          <w:b/>
          <w:bCs/>
        </w:rPr>
        <w:t xml:space="preserve">Começar a partir de um modelo</w:t>
      </w:r>
      <w:r>
        <w:t xml:space="preserve"> preenche o questionário com um cenário típico. Há quatro modelos-base — cônjuge e filhos em Portugal; sem descendentes (irmãos e sobrinhos); ligação a França; testamento e herdeiros menores — e os </w:t>
      </w:r>
      <w:r>
        <w:rPr>
          <w:b/>
          <w:bCs/>
        </w:rPr>
        <w:t xml:space="preserve">modelos do escritório</w:t>
      </w:r>
      <w:r>
        <w:t xml:space="preserve">, guardados a partir de qualquer dossier (menu ⋯ → </w:t>
      </w:r>
      <w:r>
        <w:rPr>
          <w:b/>
          <w:bCs/>
        </w:rPr>
        <w:t xml:space="preserve">Guardar como modelo</w:t>
      </w:r>
      <w:r>
        <w:t xml:space="preserve">: respostas, etiquetas, prioridade e tarefas próprias, sem dados pessoais). Se já havia respostas, a aplicação pede confirmação antes de as substituir; as tarefas próprias do modelo são acrescentadas ao criar o dossier. Os modelos gerem-se em </w:t>
      </w:r>
      <w:r>
        <w:rPr>
          <w:b/>
          <w:bCs/>
        </w:rPr>
        <w:t xml:space="preserve">Definições → Modelos de dossier</w:t>
      </w:r>
      <w:r>
        <w:t xml:space="preserve">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180"/>
          <w:sz w:val="18"/>
          <w:szCs w:val="18"/>
        </w:rPr>
        <w:t xml:space="preserve">Figura 9 — Seletor de modelos no primeiro passo do assistente.</w:t>
      </w:r>
    </w:p>
    <w:tbl>
      <w:tblPr>
        <w:tblW w:type="dxa" w:w="9638"/>
        <w:tblBorders>
          <w:top w:val="single" w:color="EEF0FB" w:sz="4"/>
          <w:left w:val="single" w:color="EEF0FB" w:sz="4"/>
          <w:bottom w:val="single" w:color="EEF0FB" w:sz="4"/>
          <w:right w:val="single" w:color="EEF0FB" w:sz="4"/>
          <w:insideH w:val="single" w:color="EEF0FB" w:sz="4"/>
          <w:insideV w:val="single" w:color="EEF0FB" w:sz="4"/>
        </w:tblBorders>
      </w:tblPr>
      <w:tblGrid>
        <w:gridCol w:w="9638"/>
      </w:tblGrid>
      <w:tr>
        <w:tc>
          <w:tcPr>
            <w:tcW w:type="dxa" w:w="9638"/>
            <w:shd w:fill="EEF0FB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2D39B9"/>
              </w:rPr>
              <w:t xml:space="preserve">Não sabe ainda uma resposta?</w:t>
            </w:r>
          </w:p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Deixe «Não sei / a confirmar». O motor gera uma tarefa para apurar a informação e, quando alterar a resposta no separador </w:t>
            </w:r>
            <w:r>
              <w:rPr>
                <w:b/>
                <w:bCs/>
                <w:sz w:val="20"/>
                <w:szCs w:val="20"/>
              </w:rPr>
              <w:t xml:space="preserve">Questionário</w:t>
            </w:r>
            <w:r>
              <w:rPr>
                <w:sz w:val="20"/>
                <w:szCs w:val="20"/>
              </w:rPr>
              <w:t xml:space="preserve">, a checklist é reconciliada automaticamente.</w:t>
            </w:r>
          </w:p>
        </w:tc>
      </w:tr>
    </w:tbl>
    <w:p>
      <w:pPr>
        <w:pStyle w:val="Heading2"/>
      </w:pPr>
      <w:r>
        <w:t xml:space="preserve">5.3 Ações sobre um dossier</w:t>
      </w:r>
    </w:p>
    <w:tbl>
      <w:tblPr>
        <w:tblW w:type="dxa" w:w="9638"/>
        <w:tblBorders>
          <w:top w:val="single" w:color="D9DCE8" w:sz="4"/>
          <w:left w:val="single" w:color="D9DCE8" w:sz="4"/>
          <w:bottom w:val="single" w:color="D9DCE8" w:sz="4"/>
          <w:right w:val="single" w:color="D9DCE8" w:sz="4"/>
          <w:insideH w:val="single" w:color="D9DCE8" w:sz="4"/>
          <w:insideV w:val="single" w:color="D9DCE8" w:sz="4"/>
        </w:tblBorders>
      </w:tblPr>
      <w:tblGrid>
        <w:gridCol w:w="2300"/>
        <w:gridCol w:w="3000"/>
        <w:gridCol w:w="4338"/>
      </w:tblGrid>
      <w:tr>
        <w:trPr>
          <w:tblHeader/>
        </w:trPr>
        <w:tc>
          <w:tcPr>
            <w:tcW w:type="dxa" w:w="2300"/>
            <w:shd w:fill="EEF0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2D39B9"/>
                <w:sz w:val="19"/>
                <w:szCs w:val="19"/>
              </w:rPr>
              <w:t xml:space="preserve">Ação</w:t>
            </w:r>
          </w:p>
        </w:tc>
        <w:tc>
          <w:tcPr>
            <w:tcW w:type="dxa" w:w="3000"/>
            <w:shd w:fill="EEF0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2D39B9"/>
                <w:sz w:val="19"/>
                <w:szCs w:val="19"/>
              </w:rPr>
              <w:t xml:space="preserve">Onde</w:t>
            </w:r>
          </w:p>
        </w:tc>
        <w:tc>
          <w:tcPr>
            <w:tcW w:type="dxa" w:w="4338"/>
            <w:shd w:fill="EEF0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2D39B9"/>
                <w:sz w:val="19"/>
                <w:szCs w:val="19"/>
              </w:rPr>
              <w:t xml:space="preserve">Efeito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Editar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Botão </w:t>
            </w:r>
            <w:r>
              <w:rPr>
                <w:b/>
                <w:bCs/>
                <w:sz w:val="20"/>
                <w:szCs w:val="20"/>
              </w:rPr>
              <w:t xml:space="preserve">Editar</w:t>
            </w:r>
            <w:r>
              <w:rPr>
                <w:sz w:val="20"/>
                <w:szCs w:val="20"/>
              </w:rPr>
              <w:t xml:space="preserve"> no cabeçalho do dossier</w:t>
            </w:r>
          </w:p>
        </w:tc>
        <w:tc>
          <w:tcPr>
            <w:tcW w:type="dxa" w:w="43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Alterar nome, responsável, prioridade, etiquetas, dados do de cujus e do cliente.</w:t>
            </w:r>
          </w:p>
        </w:tc>
      </w:tr>
      <w:tr>
        <w:trPr>
          <w:cantSplit/>
        </w:trPr>
        <w:tc>
          <w:tcPr>
            <w:tcW w:type="dxa" w:w="23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Mudar o estado</w:t>
            </w:r>
          </w:p>
        </w:tc>
        <w:tc>
          <w:tcPr>
            <w:tcW w:type="dxa" w:w="30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Seletor no cabeçalho</w:t>
            </w:r>
          </w:p>
        </w:tc>
        <w:tc>
          <w:tcPr>
            <w:tcW w:type="dxa" w:w="4338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Ativo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b/>
                <w:bCs/>
                <w:sz w:val="20"/>
                <w:szCs w:val="20"/>
              </w:rPr>
              <w:t xml:space="preserve">Suspenso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b/>
                <w:bCs/>
                <w:sz w:val="20"/>
                <w:szCs w:val="20"/>
              </w:rPr>
              <w:t xml:space="preserve">Concluído</w:t>
            </w:r>
            <w:r>
              <w:rPr>
                <w:sz w:val="20"/>
                <w:szCs w:val="20"/>
              </w:rPr>
              <w:t xml:space="preserve"> ou </w:t>
            </w:r>
            <w:r>
              <w:rPr>
                <w:b/>
                <w:bCs/>
                <w:sz w:val="20"/>
                <w:szCs w:val="20"/>
              </w:rPr>
              <w:t xml:space="preserve">Arquivado</w:t>
            </w:r>
            <w:r>
              <w:rPr>
                <w:sz w:val="20"/>
                <w:szCs w:val="20"/>
              </w:rPr>
              <w:t xml:space="preserve">. Dossiers arquivados saem das listas de trabalho e das minutas.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Relatório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Botão </w:t>
            </w:r>
            <w:r>
              <w:rPr>
                <w:b/>
                <w:bCs/>
                <w:sz w:val="20"/>
                <w:szCs w:val="20"/>
              </w:rPr>
              <w:t xml:space="preserve">Relatório</w:t>
            </w:r>
            <w:r>
              <w:rPr>
                <w:sz w:val="20"/>
                <w:szCs w:val="20"/>
              </w:rPr>
              <w:t xml:space="preserve"> no cabeçalho</w:t>
            </w:r>
          </w:p>
        </w:tc>
        <w:tc>
          <w:tcPr>
            <w:tcW w:type="dxa" w:w="43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Relatório interno, ponto de situação para o cliente, relação de bens e mapa de partilha (ver capítulo 8).</w:t>
            </w:r>
          </w:p>
        </w:tc>
      </w:tr>
      <w:tr>
        <w:trPr>
          <w:cantSplit/>
        </w:trPr>
        <w:tc>
          <w:tcPr>
            <w:tcW w:type="dxa" w:w="23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Duplicar como modelo</w:t>
            </w:r>
          </w:p>
        </w:tc>
        <w:tc>
          <w:tcPr>
            <w:tcW w:type="dxa" w:w="30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Menu ⋯ do dossier</w:t>
            </w:r>
          </w:p>
        </w:tc>
        <w:tc>
          <w:tcPr>
            <w:tcW w:type="dxa" w:w="4338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Cria um dossier novo com o mesmo questionário e a mesma checklist (sem dados pessoais nem histórico) — útil para casos semelhantes.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Guardar como modelo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Menu ⋯ do dossier</w:t>
            </w:r>
          </w:p>
        </w:tc>
        <w:tc>
          <w:tcPr>
            <w:tcW w:type="dxa" w:w="43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Guarda o questionário, as etiquetas, a prioridade e as tarefas próprias como modelo reutilizável no assistente.</w:t>
            </w:r>
          </w:p>
        </w:tc>
      </w:tr>
      <w:tr>
        <w:trPr>
          <w:cantSplit/>
        </w:trPr>
        <w:tc>
          <w:tcPr>
            <w:tcW w:type="dxa" w:w="23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Eliminar</w:t>
            </w:r>
          </w:p>
        </w:tc>
        <w:tc>
          <w:tcPr>
            <w:tcW w:type="dxa" w:w="30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Menu ⋯ do dossier</w:t>
            </w:r>
          </w:p>
        </w:tc>
        <w:tc>
          <w:tcPr>
            <w:tcW w:type="dxa" w:w="4338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Apaga o dossier e tudo o que lhe pertence (tarefas, interessados, bens, documentos e anexos). Pede confirmação.</w:t>
            </w:r>
          </w:p>
        </w:tc>
      </w:tr>
    </w:tbl>
    <w:p>
      <w:pPr>
        <w:pStyle w:val="Heading1"/>
        <w:pageBreakBefore/>
      </w:pPr>
      <w:r>
        <w:t xml:space="preserve">6. Dentro do dossier</w:t>
      </w:r>
    </w:p>
    <w:p>
      <w:pPr>
        <w:spacing w:after="120" w:line="276"/>
      </w:pPr>
      <w:r>
        <w:t xml:space="preserve">O </w:t>
      </w:r>
      <w:r>
        <w:rPr>
          <w:b/>
          <w:bCs/>
        </w:rPr>
        <w:t xml:space="preserve">cabeçalho</w:t>
      </w:r>
      <w:r>
        <w:t xml:space="preserve"> do dossier resume o essencial: referência, etiquetas (por exemplo «Precisa de atenção», «Prioridade alta», «França», «Imóveis»), de cujus e data do óbito, cliente, responsável e estado. Os cartões seguintes mostram o </w:t>
      </w:r>
      <w:r>
        <w:rPr>
          <w:b/>
          <w:bCs/>
        </w:rPr>
        <w:t xml:space="preserve">estado do dossier</w:t>
      </w:r>
      <w:r>
        <w:t xml:space="preserve"> (percentagem concluída, fase atual) e as tarefas </w:t>
      </w:r>
      <w:r>
        <w:rPr>
          <w:b/>
          <w:bCs/>
        </w:rPr>
        <w:t xml:space="preserve">Pendentes</w:t>
      </w:r>
      <w:r>
        <w:t xml:space="preserve">, </w:t>
      </w:r>
      <w:r>
        <w:rPr>
          <w:b/>
          <w:bCs/>
        </w:rPr>
        <w:t xml:space="preserve">Em curso</w:t>
      </w:r>
      <w:r>
        <w:t xml:space="preserve">, </w:t>
      </w:r>
      <w:r>
        <w:rPr>
          <w:b/>
          <w:bCs/>
        </w:rPr>
        <w:t xml:space="preserve">A aguardar</w:t>
      </w:r>
      <w:r>
        <w:t xml:space="preserve">, </w:t>
      </w:r>
      <w:r>
        <w:rPr>
          <w:b/>
          <w:bCs/>
        </w:rPr>
        <w:t xml:space="preserve">Concluídas</w:t>
      </w:r>
      <w:r>
        <w:t xml:space="preserve"> e </w:t>
      </w:r>
      <w:r>
        <w:rPr>
          <w:b/>
          <w:bCs/>
        </w:rPr>
        <w:t xml:space="preserve">N/A</w:t>
      </w:r>
      <w:r>
        <w:t xml:space="preserve">.</w:t>
      </w:r>
    </w:p>
    <w:p>
      <w:pPr>
        <w:spacing w:after="120" w:line="276"/>
      </w:pPr>
      <w:r>
        <w:t xml:space="preserve">À direita, o painel </w:t>
      </w:r>
      <w:r>
        <w:rPr>
          <w:b/>
          <w:bCs/>
        </w:rPr>
        <w:t xml:space="preserve">Próxima ação</w:t>
      </w:r>
      <w:r>
        <w:t xml:space="preserve"> indica a tarefa a tratar a seguir e </w:t>
      </w:r>
      <w:r>
        <w:rPr>
          <w:b/>
          <w:bCs/>
        </w:rPr>
        <w:t xml:space="preserve">O que está a bloquear?</w:t>
      </w:r>
      <w:r>
        <w:t xml:space="preserve"> lista prazos ultrapassados, tarefas críticas por iniciar e dependências de terceiros deste dossier.</w:t>
      </w:r>
    </w:p>
    <w:p>
      <w:pPr>
        <w:pStyle w:val="Heading2"/>
      </w:pPr>
      <w:r>
        <w:t xml:space="preserve">6.1 Checklist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180"/>
          <w:sz w:val="18"/>
          <w:szCs w:val="18"/>
        </w:rPr>
        <w:t xml:space="preserve">Figura 10 — Separador «Checklist» de um dossier fictício.</w:t>
      </w:r>
    </w:p>
    <w:p>
      <w:pPr>
        <w:spacing w:after="120" w:line="276"/>
      </w:pPr>
      <w:r>
        <w:t xml:space="preserve">A checklist está organizada por </w:t>
      </w:r>
      <w:r>
        <w:rPr>
          <w:b/>
          <w:bCs/>
        </w:rPr>
        <w:t xml:space="preserve">fases</w:t>
      </w:r>
      <w:r>
        <w:t xml:space="preserve"> (Abertura, Interessados, Testamento, Habilitação, Internacional, Património, Passivo, Fiscal, Partilha, Encerramento). Cada fase pode ser recolhida. Cada linha mostra o estado, o título, a razão pela qual a tarefa foi gerada, o prazo e o responsável.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Filtros</w:t>
      </w:r>
      <w:r>
        <w:t xml:space="preserve">: Em aberto · Críticas · Com prazo · Todas; e pesquisa por texto.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Mudar o estado</w:t>
      </w:r>
      <w:r>
        <w:t xml:space="preserve"> diretamente no menu de estado da linha, sem abrir a tarefa.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Adicionar tarefa</w:t>
      </w:r>
      <w:r>
        <w:t xml:space="preserve"> manual (botão no topo do separador) para trabalho específico do caso.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Tarefas obsoletas</w:t>
      </w:r>
      <w:r>
        <w:t xml:space="preserve">: se uma resposta do questionário mudar e uma tarefa já trabalhada deixar de se aplicar, fica marcada como obsoleta (não é apagada) — pode ser removida ou restaurada.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Lista ou quadro</w:t>
      </w:r>
      <w:r>
        <w:t xml:space="preserve">: o botão de vista alterna entre a lista por fases e um </w:t>
      </w:r>
      <w:r>
        <w:rPr>
          <w:b/>
          <w:bCs/>
        </w:rPr>
        <w:t xml:space="preserve">quadro Kanban</w:t>
      </w:r>
      <w:r>
        <w:t xml:space="preserve"> com uma coluna por estado; arrastar um cartão para outra coluna muda o estado.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Selecionar / ações em massa</w:t>
      </w:r>
      <w:r>
        <w:t xml:space="preserve">: em modo de seleção aparecem caixas em cada tarefa e uma barra para mudar o estado, atribuir responsável, definir prazo, marcar ou desmarcar como crítica e remover tarefas próprias (as geradas por regras marcam-se «Não aplicável»). Cada ação fica registada no histórico.</w:t>
      </w:r>
    </w:p>
    <w:tbl>
      <w:tblPr>
        <w:tblW w:type="dxa" w:w="9638"/>
        <w:tblBorders>
          <w:top w:val="single" w:color="D9DCE8" w:sz="4"/>
          <w:left w:val="single" w:color="D9DCE8" w:sz="4"/>
          <w:bottom w:val="single" w:color="D9DCE8" w:sz="4"/>
          <w:right w:val="single" w:color="D9DCE8" w:sz="4"/>
          <w:insideH w:val="single" w:color="D9DCE8" w:sz="4"/>
          <w:insideV w:val="single" w:color="D9DCE8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shd w:fill="EEF0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2D39B9"/>
                <w:sz w:val="19"/>
                <w:szCs w:val="19"/>
              </w:rPr>
              <w:t xml:space="preserve">Estado</w:t>
            </w:r>
          </w:p>
        </w:tc>
        <w:tc>
          <w:tcPr>
            <w:tcW w:type="dxa" w:w="6638"/>
            <w:shd w:fill="EEF0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2D39B9"/>
                <w:sz w:val="19"/>
                <w:szCs w:val="19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Pendente</w:t>
            </w:r>
          </w:p>
        </w:tc>
        <w:tc>
          <w:tcPr>
            <w:tcW w:type="dxa" w:w="6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Ainda não iniciada.</w:t>
            </w:r>
          </w:p>
        </w:tc>
      </w:tr>
      <w:tr>
        <w:trPr>
          <w:cantSplit/>
        </w:trPr>
        <w:tc>
          <w:tcPr>
            <w:tcW w:type="dxa" w:w="30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Em curso</w:t>
            </w:r>
          </w:p>
        </w:tc>
        <w:tc>
          <w:tcPr>
            <w:tcW w:type="dxa" w:w="6638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Em tratamento pela equipa.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A aguardar terceiros</w:t>
            </w:r>
          </w:p>
        </w:tc>
        <w:tc>
          <w:tcPr>
            <w:tcW w:type="dxa" w:w="6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Depende de banco, notário, cliente ou entidade externa.</w:t>
            </w:r>
          </w:p>
        </w:tc>
      </w:tr>
      <w:tr>
        <w:trPr>
          <w:cantSplit/>
        </w:trPr>
        <w:tc>
          <w:tcPr>
            <w:tcW w:type="dxa" w:w="30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Concluída</w:t>
            </w:r>
          </w:p>
        </w:tc>
        <w:tc>
          <w:tcPr>
            <w:tcW w:type="dxa" w:w="6638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Tratada e verificada.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Não aplicável</w:t>
            </w:r>
          </w:p>
        </w:tc>
        <w:tc>
          <w:tcPr>
            <w:tcW w:type="dxa" w:w="6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Não se aplica a este dossier.</w:t>
            </w:r>
          </w:p>
        </w:tc>
      </w:tr>
    </w:tbl>
    <w:p>
      <w:pPr>
        <w:keepNext/>
        <w:spacing w:after="60" w:before="12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180"/>
          <w:sz w:val="18"/>
          <w:szCs w:val="18"/>
        </w:rPr>
        <w:t xml:space="preserve">Figura 11 — Checklist em quadro Kanban: arrastar e largar muda o estado.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180"/>
          <w:sz w:val="18"/>
          <w:szCs w:val="18"/>
        </w:rPr>
        <w:t xml:space="preserve">Figura 12 — Modo de seleção com a barra de ações em massa.</w:t>
      </w:r>
    </w:p>
    <w:p>
      <w:pPr>
        <w:pStyle w:val="Heading2"/>
      </w:pPr>
      <w:r>
        <w:t xml:space="preserve">6.2 A gaveta da tarefa</w:t>
      </w:r>
    </w:p>
    <w:p>
      <w:pPr>
        <w:spacing w:after="120" w:line="276"/>
      </w:pPr>
      <w:r>
        <w:t xml:space="preserve">Clique numa tarefa para abrir a </w:t>
      </w:r>
      <w:r>
        <w:rPr>
          <w:b/>
          <w:bCs/>
        </w:rPr>
        <w:t xml:space="preserve">gaveta</w:t>
      </w:r>
      <w:r>
        <w:t xml:space="preserve"> com toda a informação de trabalho.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180"/>
          <w:sz w:val="18"/>
          <w:szCs w:val="18"/>
        </w:rPr>
        <w:t xml:space="preserve">Figura 13 — Gaveta de uma tarefa com prazo calculado e aviso de dia não útil.</w:t>
      </w:r>
    </w:p>
    <w:tbl>
      <w:tblPr>
        <w:tblW w:type="dxa" w:w="9638"/>
        <w:tblBorders>
          <w:top w:val="single" w:color="D9DCE8" w:sz="4"/>
          <w:left w:val="single" w:color="D9DCE8" w:sz="4"/>
          <w:bottom w:val="single" w:color="D9DCE8" w:sz="4"/>
          <w:right w:val="single" w:color="D9DCE8" w:sz="4"/>
          <w:insideH w:val="single" w:color="D9DCE8" w:sz="4"/>
          <w:insideV w:val="single" w:color="D9DCE8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shd w:fill="EEF0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2D39B9"/>
                <w:sz w:val="19"/>
                <w:szCs w:val="19"/>
              </w:rPr>
              <w:t xml:space="preserve">Campo</w:t>
            </w:r>
          </w:p>
        </w:tc>
        <w:tc>
          <w:tcPr>
            <w:tcW w:type="dxa" w:w="7238"/>
            <w:shd w:fill="EEF0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2D39B9"/>
                <w:sz w:val="19"/>
                <w:szCs w:val="19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Gerada porque</w:t>
            </w:r>
          </w:p>
        </w:tc>
        <w:tc>
          <w:tcPr>
            <w:tcW w:type="dxa" w:w="7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A regra do questionário que originou a tarefa (ex.: «Obrigação fiscal de qualquer sucessão»).</w:t>
            </w:r>
          </w:p>
        </w:tc>
      </w:tr>
      <w:tr>
        <w:trPr>
          <w:cantSplit/>
        </w:trPr>
        <w:tc>
          <w:tcPr>
            <w:tcW w:type="dxa" w:w="24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Estado</w:t>
            </w:r>
          </w:p>
        </w:tc>
        <w:tc>
          <w:tcPr>
            <w:tcW w:type="dxa" w:w="7238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Pendente · Em curso · A aguardar terceiros · Concluída · Não aplicável.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Prazo</w:t>
            </w:r>
          </w:p>
        </w:tc>
        <w:tc>
          <w:tcPr>
            <w:tcW w:type="dxa" w:w="7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Calculado automaticamente a partir da data do óbito (mostra «calculado automaticamente» e a </w:t>
            </w:r>
            <w:r>
              <w:rPr>
                <w:b/>
                <w:bCs/>
                <w:sz w:val="20"/>
                <w:szCs w:val="20"/>
              </w:rPr>
              <w:t xml:space="preserve">regra do prazo</w:t>
            </w:r>
            <w:r>
              <w:rPr>
                <w:sz w:val="20"/>
                <w:szCs w:val="20"/>
              </w:rPr>
              <w:t xml:space="preserve">) ou definido à mão. Quando o prazo termina num sábado, domingo ou feriado, a aplicação avisa e indica o </w:t>
            </w:r>
            <w:r>
              <w:rPr>
                <w:b/>
                <w:bCs/>
                <w:sz w:val="20"/>
                <w:szCs w:val="20"/>
              </w:rPr>
              <w:t xml:space="preserve">1.º dia útil seguinte</w:t>
            </w:r>
            <w:r>
              <w:rPr>
                <w:sz w:val="20"/>
                <w:szCs w:val="20"/>
              </w:rPr>
              <w:t xml:space="preserve">, mantendo a data original por prudência.</w:t>
            </w:r>
          </w:p>
        </w:tc>
      </w:tr>
      <w:tr>
        <w:trPr>
          <w:cantSplit/>
        </w:trPr>
        <w:tc>
          <w:tcPr>
            <w:tcW w:type="dxa" w:w="24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Responsável</w:t>
            </w:r>
          </w:p>
        </w:tc>
        <w:tc>
          <w:tcPr>
            <w:tcW w:type="dxa" w:w="7238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Pessoa da equipa; por omissão, o responsável do dossier.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Fase e criticidade</w:t>
            </w:r>
          </w:p>
        </w:tc>
        <w:tc>
          <w:tcPr>
            <w:tcW w:type="dxa" w:w="7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A fase da checklist e a marca </w:t>
            </w:r>
            <w:r>
              <w:rPr>
                <w:b/>
                <w:bCs/>
                <w:sz w:val="20"/>
                <w:szCs w:val="20"/>
              </w:rPr>
              <w:t xml:space="preserve">Tarefa crítica (bloqueia o dossier)</w:t>
            </w:r>
            <w:r>
              <w:rPr>
                <w:sz w:val="20"/>
                <w:szCs w:val="20"/>
              </w:rPr>
              <w:t xml:space="preserve"> — as críticas por iniciar aparecem em «O que está a bloquear?».</w:t>
            </w:r>
          </w:p>
        </w:tc>
      </w:tr>
      <w:tr>
        <w:trPr>
          <w:cantSplit/>
        </w:trPr>
        <w:tc>
          <w:tcPr>
            <w:tcW w:type="dxa" w:w="24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Como fazer</w:t>
            </w:r>
          </w:p>
        </w:tc>
        <w:tc>
          <w:tcPr>
            <w:tcW w:type="dxa" w:w="7238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Orientação prática para executar a tarefa.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Documentos</w:t>
            </w:r>
          </w:p>
        </w:tc>
        <w:tc>
          <w:tcPr>
            <w:tcW w:type="dxa" w:w="7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Documentos necessários; alimentam automaticamente o separador </w:t>
            </w:r>
            <w:r>
              <w:rPr>
                <w:b/>
                <w:bCs/>
                <w:sz w:val="20"/>
                <w:szCs w:val="20"/>
              </w:rPr>
              <w:t xml:space="preserve">Documentos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4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Referências</w:t>
            </w:r>
          </w:p>
        </w:tc>
        <w:tc>
          <w:tcPr>
            <w:tcW w:type="dxa" w:w="7238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Referências legais de apoio (Código Civil, CIS, CIRS, Regulamento (UE) n.º 650/2012, etc.) — a validar pela equipa.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Notas</w:t>
            </w:r>
          </w:p>
        </w:tc>
        <w:tc>
          <w:tcPr>
            <w:tcW w:type="dxa" w:w="7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Notas de trabalho da tarefa.</w:t>
            </w:r>
          </w:p>
        </w:tc>
      </w:tr>
    </w:tbl>
    <w:p>
      <w:pPr>
        <w:pStyle w:val="Heading2"/>
      </w:pPr>
      <w:r>
        <w:t xml:space="preserve">6.3 Interessados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180"/>
          <w:sz w:val="18"/>
          <w:szCs w:val="18"/>
        </w:rPr>
        <w:t xml:space="preserve">Figura 14 — Separador «Interessados».</w:t>
      </w:r>
    </w:p>
    <w:p>
      <w:pPr>
        <w:spacing w:after="120" w:line="276"/>
      </w:pPr>
      <w:r>
        <w:t xml:space="preserve">Registe todas as pessoas com interesse na sucessão: </w:t>
      </w:r>
      <w:r>
        <w:rPr>
          <w:b/>
          <w:bCs/>
        </w:rPr>
        <w:t xml:space="preserve">herdeiros, legatários, cônjuge, unido de facto, credores, beneficiários, representantes legais e outros</w:t>
      </w:r>
      <w:r>
        <w:t xml:space="preserve">. Para cada pessoa: relação com o de cujus, NIF, documento de identificação, nacionalidade, nascimento, estado civil e regime de bens, </w:t>
      </w:r>
      <w:r>
        <w:rPr>
          <w:b/>
          <w:bCs/>
        </w:rPr>
        <w:t xml:space="preserve">procuração</w:t>
      </w:r>
      <w:r>
        <w:t xml:space="preserve"> (não aplicável, a pedir, pedida, recebida), </w:t>
      </w:r>
      <w:r>
        <w:rPr>
          <w:b/>
          <w:bCs/>
        </w:rPr>
        <w:t xml:space="preserve">aceitação da herança</w:t>
      </w:r>
      <w:r>
        <w:t xml:space="preserve"> (por definir, aceitou, repudiou, aceitou a benefício de inventário), contactos, morada e observações.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Marque quem é o </w:t>
      </w:r>
      <w:r>
        <w:rPr>
          <w:b/>
          <w:bCs/>
        </w:rPr>
        <w:t xml:space="preserve">cabeça-de-casal</w:t>
      </w:r>
      <w:r>
        <w:t xml:space="preserve"> — só pode haver um; a aplicação garante a exclusividade.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Interessados </w:t>
      </w:r>
      <w:r>
        <w:rPr>
          <w:b/>
          <w:bCs/>
        </w:rPr>
        <w:t xml:space="preserve">menores</w:t>
      </w:r>
      <w:r>
        <w:t xml:space="preserve"> podem ter um </w:t>
      </w:r>
      <w:r>
        <w:rPr>
          <w:b/>
          <w:bCs/>
        </w:rPr>
        <w:t xml:space="preserve">representante</w:t>
      </w:r>
      <w:r>
        <w:t xml:space="preserve"> associado; a checklist documental passa a exigir os documentos do representante.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Os interessados alimentam o separador </w:t>
      </w:r>
      <w:r>
        <w:rPr>
          <w:b/>
          <w:bCs/>
        </w:rPr>
        <w:t xml:space="preserve">Quotas</w:t>
      </w:r>
      <w:r>
        <w:t xml:space="preserve"> (herdeiros por classe) e as listas das minutas (herdeiros, interessados).</w:t>
      </w:r>
    </w:p>
    <w:p>
      <w:pPr>
        <w:pStyle w:val="Heading2"/>
      </w:pPr>
      <w:r>
        <w:t xml:space="preserve">6.4 Património e passivo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180"/>
          <w:sz w:val="18"/>
          <w:szCs w:val="18"/>
        </w:rPr>
        <w:t xml:space="preserve">Figura 15 — Separador «Património»: bens, passivo e massa hereditária.</w:t>
      </w:r>
    </w:p>
    <w:p>
      <w:pPr>
        <w:spacing w:after="120" w:line="276"/>
      </w:pPr>
      <w:r>
        <w:t xml:space="preserve">Registe cada </w:t>
      </w:r>
      <w:r>
        <w:rPr>
          <w:b/>
          <w:bCs/>
        </w:rPr>
        <w:t xml:space="preserve">bem</w:t>
      </w:r>
      <w:r>
        <w:t xml:space="preserve"> com tipo (imóvel, conta bancária, participação social, veículo, aforro/tesouro, bem no estrangeiro, outro), descrição, titularidade (</w:t>
      </w:r>
      <w:r>
        <w:rPr>
          <w:b/>
          <w:bCs/>
        </w:rPr>
        <w:t xml:space="preserve">bem próprio</w:t>
      </w:r>
      <w:r>
        <w:t xml:space="preserve">, </w:t>
      </w:r>
      <w:r>
        <w:rPr>
          <w:b/>
          <w:bCs/>
        </w:rPr>
        <w:t xml:space="preserve">bem comum do casal</w:t>
      </w:r>
      <w:r>
        <w:t xml:space="preserve"> ou por classificar), valor e </w:t>
      </w:r>
      <w:r>
        <w:rPr>
          <w:b/>
          <w:bCs/>
        </w:rPr>
        <w:t xml:space="preserve">base do valor</w:t>
      </w:r>
      <w:r>
        <w:t xml:space="preserve"> (VPT, saldo à data do óbito, valor de mercado, valor nominal, estimativa), entidade e estado (</w:t>
      </w:r>
      <w:r>
        <w:rPr>
          <w:b/>
          <w:bCs/>
        </w:rPr>
        <w:t xml:space="preserve">identificado → documentado → avaliado → partilhado</w:t>
      </w:r>
      <w:r>
        <w:t xml:space="preserve">). Registe o </w:t>
      </w:r>
      <w:r>
        <w:rPr>
          <w:b/>
          <w:bCs/>
        </w:rPr>
        <w:t xml:space="preserve">passivo</w:t>
      </w:r>
      <w:r>
        <w:t xml:space="preserve"> (dívidas e encargos) com credor, natureza e valor.</w:t>
      </w:r>
    </w:p>
    <w:p>
      <w:pPr>
        <w:spacing w:after="120" w:line="276"/>
      </w:pPr>
      <w:r>
        <w:t xml:space="preserve">Os cartões do topo somam o ativo, o passivo e o </w:t>
      </w:r>
      <w:r>
        <w:rPr>
          <w:b/>
          <w:bCs/>
        </w:rPr>
        <w:t xml:space="preserve">valor líquido</w:t>
      </w:r>
      <w:r>
        <w:t xml:space="preserve"> e, quando há bens comuns, destacam a parte que corresponde à </w:t>
      </w:r>
      <w:r>
        <w:rPr>
          <w:b/>
          <w:bCs/>
        </w:rPr>
        <w:t xml:space="preserve">meação do cônjuge</w:t>
      </w:r>
      <w:r>
        <w:t xml:space="preserve">. Estes valores alimentam as Quotas e as minutas (ativo, passivo, listas de bens e de bancos).</w:t>
      </w:r>
    </w:p>
    <w:p>
      <w:pPr>
        <w:pStyle w:val="Heading2"/>
      </w:pPr>
      <w:r>
        <w:t xml:space="preserve">6.5 Documentos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180"/>
          <w:sz w:val="18"/>
          <w:szCs w:val="18"/>
        </w:rPr>
        <w:t xml:space="preserve">Figura 16 — Separador «Documentos» com a checklist documental gerada automaticamente.</w:t>
      </w:r>
    </w:p>
    <w:p>
      <w:pPr>
        <w:spacing w:after="120" w:line="276"/>
      </w:pPr>
      <w:r>
        <w:t xml:space="preserve">Óbito e registo civil · Família e filiação · Identificação e mandato · Testamento e liberalidades · Património · Bancos e dívidas · Fiscal · Internacional · Minutas e peças · Outros.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Estados</w:t>
      </w:r>
      <w:r>
        <w:t xml:space="preserve">: Em falta → Pedido / a aguardar → Recebido → Validado (ou Não aplicável), com a data de cada mudança.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Anexar ficheiros</w:t>
      </w:r>
      <w:r>
        <w:t xml:space="preserve">: arraste-os para a zona de largada ou use </w:t>
      </w:r>
      <w:r>
        <w:rPr>
          <w:b/>
          <w:bCs/>
        </w:rPr>
        <w:t xml:space="preserve">Anexar</w:t>
      </w:r>
      <w:r>
        <w:t xml:space="preserve"> em cada documento (até 25 MB por ficheiro). Os anexos ficam guardados no dispositivo e disponíveis offline; pode abri-los ou descarregá-los.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Adicionar documento</w:t>
      </w:r>
      <w:r>
        <w:t xml:space="preserve"> para exigências específicas do caso; </w:t>
      </w:r>
      <w:r>
        <w:rPr>
          <w:b/>
          <w:bCs/>
        </w:rPr>
        <w:t xml:space="preserve">Notas</w:t>
      </w:r>
      <w:r>
        <w:t xml:space="preserve"> por documento (ex.: «original a aguardar»).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As minutas guardadas no dossier aparecem na categoria </w:t>
      </w:r>
      <w:r>
        <w:rPr>
          <w:b/>
          <w:bCs/>
        </w:rPr>
        <w:t xml:space="preserve">Minutas e peças</w:t>
      </w:r>
      <w:r>
        <w:t xml:space="preserve"> com o ficheiro Word anexado.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O email «Documentos em falta» (Minutas) lista automaticamente os documentos em falta que o </w:t>
      </w:r>
      <w:r>
        <w:rPr>
          <w:b/>
          <w:bCs/>
        </w:rPr>
        <w:t xml:space="preserve">cliente pode fornecer</w:t>
      </w:r>
      <w:r>
        <w:t xml:space="preserve">.</w:t>
      </w:r>
    </w:p>
    <w:p>
      <w:pPr>
        <w:pStyle w:val="Heading2"/>
      </w:pPr>
      <w:r>
        <w:t xml:space="preserve">6.6 Quotas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180"/>
          <w:sz w:val="18"/>
          <w:szCs w:val="18"/>
        </w:rPr>
        <w:t xml:space="preserve">Figura 17 — Separador «Quotas» pré-preenchido a partir dos interessados e do património.</w:t>
      </w:r>
    </w:p>
    <w:p>
      <w:pPr>
        <w:spacing w:after="120" w:line="276"/>
      </w:pPr>
      <w:r>
        <w:t xml:space="preserve">O separador </w:t>
      </w:r>
      <w:r>
        <w:rPr>
          <w:b/>
          <w:bCs/>
        </w:rPr>
        <w:t xml:space="preserve">Quotas</w:t>
      </w:r>
      <w:r>
        <w:t xml:space="preserve"> aplica a calculadora sucessória ao dossier: os herdeiros são pré-preenchidos a partir dos interessados, o regime de bens do questionário, o ativo e o passivo do património. O resultado (barra de quotas, tabela por herdeiro com quota, legítima e valor estimado, medidor da legítima) é </w:t>
      </w:r>
      <w:r>
        <w:rPr>
          <w:b/>
          <w:bCs/>
        </w:rPr>
        <w:t xml:space="preserve">guardado automaticamente</w:t>
      </w:r>
      <w:r>
        <w:t xml:space="preserve"> no dossier. A caixa «Rever antes de dar o resultado» aponta o que confirmar (ex.: repúdios, representação, doações). Pode </w:t>
      </w:r>
      <w:r>
        <w:rPr>
          <w:b/>
          <w:bCs/>
        </w:rPr>
        <w:t xml:space="preserve">abrir na calculadora</w:t>
      </w:r>
      <w:r>
        <w:t xml:space="preserve"> para explorar cenários, </w:t>
      </w:r>
      <w:r>
        <w:rPr>
          <w:b/>
          <w:bCs/>
        </w:rPr>
        <w:t xml:space="preserve">repor do dossier</w:t>
      </w:r>
      <w:r>
        <w:t xml:space="preserve"> ou </w:t>
      </w:r>
      <w:r>
        <w:rPr>
          <w:b/>
          <w:bCs/>
        </w:rPr>
        <w:t xml:space="preserve">imprimir</w:t>
      </w:r>
      <w:r>
        <w:t xml:space="preserve">.</w:t>
      </w:r>
    </w:p>
    <w:p>
      <w:pPr>
        <w:pStyle w:val="Heading3"/>
      </w:pPr>
      <w:r>
        <w:t xml:space="preserve">Mapa de partilha</w:t>
      </w:r>
    </w:p>
    <w:p>
      <w:pPr>
        <w:spacing w:after="120" w:line="276"/>
      </w:pPr>
      <w:r>
        <w:t xml:space="preserve">No fundo do separador, o </w:t>
      </w:r>
      <w:r>
        <w:rPr>
          <w:b/>
          <w:bCs/>
        </w:rPr>
        <w:t xml:space="preserve">Mapa de partilha</w:t>
      </w:r>
      <w:r>
        <w:t xml:space="preserve"> lista cada bem com o valor que integra a herança (quota-parte do de cujus e, nos regimes de comunhão, só metade dos bens comuns) e permite atribuí-lo a um herdeiro ou marcá-lo para venda/partilha em dinheiro. A tabela seguinte mostra, por herdeiro, o </w:t>
      </w:r>
      <w:r>
        <w:rPr>
          <w:b/>
          <w:bCs/>
        </w:rPr>
        <w:t xml:space="preserve">direito</w:t>
      </w:r>
      <w:r>
        <w:t xml:space="preserve"> (quota × valor da herança), o </w:t>
      </w:r>
      <w:r>
        <w:rPr>
          <w:b/>
          <w:bCs/>
        </w:rPr>
        <w:t xml:space="preserve">recebido em bens</w:t>
      </w:r>
      <w:r>
        <w:t xml:space="preserve"> e as </w:t>
      </w:r>
      <w:r>
        <w:rPr>
          <w:b/>
          <w:bCs/>
        </w:rPr>
        <w:t xml:space="preserve">tornas</w:t>
      </w:r>
      <w:r>
        <w:t xml:space="preserve"> a pagar ou a receber. As atribuições e as notas guardam-se automaticamente; </w:t>
      </w:r>
      <w:r>
        <w:rPr>
          <w:b/>
          <w:bCs/>
        </w:rPr>
        <w:t xml:space="preserve">Abrir mapa</w:t>
      </w:r>
      <w:r>
        <w:t xml:space="preserve"> gera o documento (capítulo 8).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180"/>
          <w:sz w:val="18"/>
          <w:szCs w:val="18"/>
        </w:rPr>
        <w:t xml:space="preserve">Figura 18 — Mapa de partilha: atribuição de bens e tornas por herdeiro.</w:t>
      </w:r>
    </w:p>
    <w:p>
      <w:pPr>
        <w:pStyle w:val="Heading2"/>
      </w:pPr>
      <w:r>
        <w:t xml:space="preserve">6.7 Internacional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180"/>
          <w:sz w:val="18"/>
          <w:szCs w:val="18"/>
        </w:rPr>
        <w:t xml:space="preserve">Figura 19 — Separador «Internacional»: lei aplicável, CSE, documentos, prazos e entidades.</w:t>
      </w:r>
    </w:p>
    <w:p>
      <w:pPr>
        <w:spacing w:after="120" w:line="276"/>
      </w:pPr>
      <w:r>
        <w:t xml:space="preserve">Aparece quando há elementos de estraneidade (óbito, residência, nacionalidade, bens ou entidades noutro país) e reúne o essencial do Regulamento (UE) n.º 650/2012 e da prática transfronteiriça: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Lei aplicável e competência</w:t>
      </w:r>
      <w:r>
        <w:t xml:space="preserve"> — indique a residência habitual à data do óbito, as nacionalidades, uma eventual escolha de lei em testamento (art. 22.º) e, se for o caso, a ligação manifestamente mais estreita (art. 21.º/2). A aplicação explica passo a passo a lei aplicável, a competência (arts. 4.º e 10.º), o reenvio (art. 34.º) e se o </w:t>
      </w:r>
      <w:r>
        <w:rPr>
          <w:b/>
          <w:bCs/>
        </w:rPr>
        <w:t xml:space="preserve">Certificado Sucessório Europeu</w:t>
      </w:r>
      <w:r>
        <w:t xml:space="preserve"> está disponível, com avisos para Dinamarca, Irlanda e Reino Unido.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Certificado Sucessório Europeu</w:t>
      </w:r>
      <w:r>
        <w:t xml:space="preserve"> — estado (por avaliar → a pedir → pedido → emitido), finalidades, Estados onde será usado, datas e notas; lembra quem pode pedir, o formulário e a validade das cópias (6 meses).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Documentos e circulação</w:t>
      </w:r>
      <w:r>
        <w:t xml:space="preserve"> — para cada país envolvido, o regime aplicável: formulários multilingues sem apostila na UE (Reg. 2016/1191), apostila nos países da Convenção da Haia ou legalização consular nos restantes; lista dos documentos que normalmente têm de circular.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Prazos de referência por país</w:t>
      </w:r>
      <w:r>
        <w:t xml:space="preserve"> — contados do óbito, com base legal e notas (França, Espanha, Alemanha, Bélgica, Países Baixos, Luxemburgo, Reino Unido, Suíça, Brasil, EUA, Canadá, Venezuela, África do Sul…), sempre a validar com colega local.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Entidades no estrangeiro</w:t>
      </w:r>
      <w:r>
        <w:t xml:space="preserve"> — notaires, advogados, bancos, tribunais, consulados, tradutores, registos e administrações fiscais, com contacto e notas.</w:t>
      </w:r>
    </w:p>
    <w:tbl>
      <w:tblPr>
        <w:tblW w:type="dxa" w:w="9638"/>
        <w:tblBorders>
          <w:top w:val="single" w:color="FFF6E5" w:sz="4"/>
          <w:left w:val="single" w:color="FFF6E5" w:sz="4"/>
          <w:bottom w:val="single" w:color="FFF6E5" w:sz="4"/>
          <w:right w:val="single" w:color="FFF6E5" w:sz="4"/>
          <w:insideH w:val="single" w:color="FFF6E5" w:sz="4"/>
          <w:insideV w:val="single" w:color="FFF6E5" w:sz="4"/>
        </w:tblBorders>
      </w:tblPr>
      <w:tblGrid>
        <w:gridCol w:w="9638"/>
      </w:tblGrid>
      <w:tr>
        <w:tc>
          <w:tcPr>
            <w:tcW w:type="dxa" w:w="9638"/>
            <w:shd w:fill="FFF6E5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8A5A00"/>
              </w:rPr>
              <w:t xml:space="preserve">Referência, não decisão</w:t>
            </w:r>
          </w:p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As regras de conflitos e os prazos estrangeiros mudam e têm exceções. Use a análise como ponto de partida para a conversa com o colega do outro país e confirme cada prazo na fonte.</w:t>
            </w:r>
          </w:p>
        </w:tc>
      </w:tr>
    </w:tbl>
    <w:p>
      <w:pPr>
        <w:pStyle w:val="Heading2"/>
      </w:pPr>
      <w:r>
        <w:t xml:space="preserve">6.8 Agenda do dossier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180"/>
          <w:sz w:val="18"/>
          <w:szCs w:val="18"/>
        </w:rPr>
        <w:t xml:space="preserve">Figura 20 — Separador «Agenda» de um dossier: prazos e eventos em linha temporal.</w:t>
      </w:r>
    </w:p>
    <w:p>
      <w:pPr>
        <w:spacing w:after="120" w:line="276"/>
      </w:pPr>
      <w:r>
        <w:t xml:space="preserve">Linha temporal com os prazos das tarefas e os eventos do dossier (escrituras, reuniões, diligências, prazos próprios, lembretes). </w:t>
      </w:r>
      <w:r>
        <w:rPr>
          <w:b/>
          <w:bCs/>
        </w:rPr>
        <w:t xml:space="preserve">Agendar</w:t>
      </w:r>
      <w:r>
        <w:t xml:space="preserve"> cria um evento já ligado ao dossier; </w:t>
      </w:r>
      <w:r>
        <w:rPr>
          <w:b/>
          <w:bCs/>
        </w:rPr>
        <w:t xml:space="preserve">Exportar .ics</w:t>
      </w:r>
      <w:r>
        <w:t xml:space="preserve"> entrega um ficheiro de calendário com todos os prazos e eventos deste dossier, pronto a importar no Outlook, Google Calendar ou Calendário da Apple.</w:t>
      </w:r>
    </w:p>
    <w:p>
      <w:pPr>
        <w:pStyle w:val="Heading2"/>
      </w:pPr>
      <w:r>
        <w:t xml:space="preserve">6.9 Notas &amp; contactos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180"/>
          <w:sz w:val="18"/>
          <w:szCs w:val="18"/>
        </w:rPr>
        <w:t xml:space="preserve">Figura 21 — Separador «Notas &amp; contactos».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Notas importantes</w:t>
      </w:r>
      <w:r>
        <w:t xml:space="preserve"> — informação que toda a equipa deve ter presente; podem ser fixadas no topo.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Observações do dossier</w:t>
      </w:r>
      <w:r>
        <w:t xml:space="preserve"> — texto livre, guardado automaticamente.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Registo de contactos</w:t>
      </w:r>
      <w:r>
        <w:t xml:space="preserve"> — data, pessoa/entidade, qualidade, canal (email, telefone, reunião, carta, videochamada), resumo e </w:t>
      </w:r>
      <w:r>
        <w:rPr>
          <w:b/>
          <w:bCs/>
        </w:rPr>
        <w:t xml:space="preserve">próximo passo com data</w:t>
      </w:r>
      <w:r>
        <w:t xml:space="preserve"> — que aparece no painel em «Contactos a retomar».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Contacto do cliente</w:t>
      </w:r>
      <w:r>
        <w:t xml:space="preserve"> — cartão com email, telefone e morada, com ligações diretas.</w:t>
      </w:r>
    </w:p>
    <w:p>
      <w:pPr>
        <w:pStyle w:val="Heading2"/>
      </w:pPr>
      <w:r>
        <w:t xml:space="preserve">6.10 Questionário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180"/>
          <w:sz w:val="18"/>
          <w:szCs w:val="18"/>
        </w:rPr>
        <w:t xml:space="preserve">Figura 22 — Separador «Questionário»: rever respostas e reconciliar a checklist.</w:t>
      </w:r>
    </w:p>
    <w:p>
      <w:pPr>
        <w:spacing w:after="120" w:line="276"/>
      </w:pPr>
      <w:r>
        <w:t xml:space="preserve">Reveja e altere as respostas a qualquer momento. Ao guardar, a aplicação </w:t>
      </w:r>
      <w:r>
        <w:rPr>
          <w:b/>
          <w:bCs/>
        </w:rPr>
        <w:t xml:space="preserve">reconcilia</w:t>
      </w:r>
      <w:r>
        <w:t xml:space="preserve"> a checklist e mostra um relatório do que mudou: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tarefas </w:t>
      </w:r>
      <w:r>
        <w:rPr>
          <w:b/>
          <w:bCs/>
        </w:rPr>
        <w:t xml:space="preserve">novas</w:t>
      </w:r>
      <w:r>
        <w:t xml:space="preserve"> são adicionadas às fases certas, com os prazos calculados;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tarefas que deixaram de se aplicar são </w:t>
      </w:r>
      <w:r>
        <w:rPr>
          <w:b/>
          <w:bCs/>
        </w:rPr>
        <w:t xml:space="preserve">removidas</w:t>
      </w:r>
      <w:r>
        <w:t xml:space="preserve"> se ainda não tinham sido tocadas, ou marcadas como </w:t>
      </w:r>
      <w:r>
        <w:rPr>
          <w:b/>
          <w:bCs/>
        </w:rPr>
        <w:t xml:space="preserve">obsoletas</w:t>
      </w:r>
      <w:r>
        <w:t xml:space="preserve"> se já tinham estado, notas, responsável ou prazo manual;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o trabalho já feito (estados, notas, responsáveis, prazos manuais, criticidade) é sempre preservado.</w:t>
      </w:r>
    </w:p>
    <w:p>
      <w:pPr>
        <w:pStyle w:val="Heading2"/>
      </w:pPr>
      <w:r>
        <w:t xml:space="preserve">6.11 Histórico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180"/>
          <w:sz w:val="18"/>
          <w:szCs w:val="18"/>
        </w:rPr>
        <w:t xml:space="preserve">Figura 23 — Separador «Histórico» com a atividade do dossier.</w:t>
      </w:r>
    </w:p>
    <w:p>
      <w:pPr>
        <w:spacing w:after="120" w:line="276"/>
      </w:pPr>
      <w:r>
        <w:t xml:space="preserve">Registo cronológico de tudo o que aconteceu no dossier: criação, alterações de estado das tarefas, respostas ao questionário, interessados, bens, documentos, eventos e minutas geradas — com autor (o nome definido nas Definições) e data.</w:t>
      </w:r>
    </w:p>
    <w:p>
      <w:pPr>
        <w:pStyle w:val="Heading1"/>
        <w:pageBreakBefore/>
      </w:pPr>
      <w:r>
        <w:t xml:space="preserve">7. O que está a bloquear?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180"/>
          <w:sz w:val="18"/>
          <w:szCs w:val="18"/>
        </w:rPr>
        <w:t xml:space="preserve">Figura 24 — Página «O que está a bloquear?».</w:t>
      </w:r>
    </w:p>
    <w:p>
      <w:pPr>
        <w:spacing w:after="120" w:line="276"/>
      </w:pPr>
      <w:r>
        <w:t xml:space="preserve">Uma vista transversal a todos os dossiers ativos, em quatro grupos:</w:t>
      </w:r>
    </w:p>
    <w:tbl>
      <w:tblPr>
        <w:tblW w:type="dxa" w:w="9638"/>
        <w:tblBorders>
          <w:top w:val="single" w:color="D9DCE8" w:sz="4"/>
          <w:left w:val="single" w:color="D9DCE8" w:sz="4"/>
          <w:bottom w:val="single" w:color="D9DCE8" w:sz="4"/>
          <w:right w:val="single" w:color="D9DCE8" w:sz="4"/>
          <w:insideH w:val="single" w:color="D9DCE8" w:sz="4"/>
          <w:insideV w:val="single" w:color="D9DCE8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shd w:fill="EEF0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2D39B9"/>
                <w:sz w:val="19"/>
                <w:szCs w:val="19"/>
              </w:rPr>
              <w:t xml:space="preserve">Grupo</w:t>
            </w:r>
          </w:p>
        </w:tc>
        <w:tc>
          <w:tcPr>
            <w:tcW w:type="dxa" w:w="6438"/>
            <w:shd w:fill="EEF0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2D39B9"/>
                <w:sz w:val="19"/>
                <w:szCs w:val="19"/>
              </w:rPr>
              <w:t xml:space="preserve">Critério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Prazos ultrapassados</w:t>
            </w:r>
          </w:p>
        </w:tc>
        <w:tc>
          <w:tcPr>
            <w:tcW w:type="dxa" w:w="64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Tarefas em aberto cujo prazo já passou.</w:t>
            </w:r>
          </w:p>
        </w:tc>
      </w:tr>
      <w:tr>
        <w:trPr>
          <w:cantSplit/>
        </w:trPr>
        <w:tc>
          <w:tcPr>
            <w:tcW w:type="dxa" w:w="32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Tarefas críticas por iniciar</w:t>
            </w:r>
          </w:p>
        </w:tc>
        <w:tc>
          <w:tcPr>
            <w:tcW w:type="dxa" w:w="6438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Tarefas marcadas como críticas ainda em estado «Pendente».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A aguardar terceiros</w:t>
            </w:r>
          </w:p>
        </w:tc>
        <w:tc>
          <w:tcPr>
            <w:tcW w:type="dxa" w:w="64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Tarefas dependentes de banco, notário, cliente ou entidade externa.</w:t>
            </w:r>
          </w:p>
        </w:tc>
      </w:tr>
      <w:tr>
        <w:trPr>
          <w:cantSplit/>
        </w:trPr>
        <w:tc>
          <w:tcPr>
            <w:tcW w:type="dxa" w:w="32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Prazos nos próximos 30 dias</w:t>
            </w:r>
          </w:p>
        </w:tc>
        <w:tc>
          <w:tcPr>
            <w:tcW w:type="dxa" w:w="6438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Tarefas em aberto com prazo próximo.</w:t>
            </w:r>
          </w:p>
        </w:tc>
      </w:tr>
    </w:tbl>
    <w:p>
      <w:pPr>
        <w:spacing w:after="120" w:line="276"/>
      </w:pPr>
      <w:r>
        <w:t xml:space="preserve">Filtre por </w:t>
      </w:r>
      <w:r>
        <w:rPr>
          <w:b/>
          <w:bCs/>
        </w:rPr>
        <w:t xml:space="preserve">responsável</w:t>
      </w:r>
      <w:r>
        <w:t xml:space="preserve"> («Toda a equipa» ou uma pessoa). Cada linha abre a tarefa no dossier respetivo. O contador na barra lateral indica o número de </w:t>
      </w:r>
      <w:r>
        <w:rPr>
          <w:b/>
          <w:bCs/>
        </w:rPr>
        <w:t xml:space="preserve">dossiers</w:t>
      </w:r>
      <w:r>
        <w:t xml:space="preserve"> com bloqueios; o contador do topo indica o número de </w:t>
      </w:r>
      <w:r>
        <w:rPr>
          <w:b/>
          <w:bCs/>
        </w:rPr>
        <w:t xml:space="preserve">prazos ultrapassados</w:t>
      </w:r>
      <w:r>
        <w:t xml:space="preserve">.</w:t>
      </w:r>
    </w:p>
    <w:p>
      <w:pPr>
        <w:pStyle w:val="Heading1"/>
        <w:pageBreakBefore/>
      </w:pPr>
      <w:r>
        <w:t xml:space="preserve">8. Relatórios do dossier</w:t>
      </w:r>
    </w:p>
    <w:p>
      <w:pPr>
        <w:spacing w:after="120" w:line="276"/>
      </w:pPr>
      <w:r>
        <w:t xml:space="preserve">O botão </w:t>
      </w:r>
      <w:r>
        <w:rPr>
          <w:b/>
          <w:bCs/>
        </w:rPr>
        <w:t xml:space="preserve">Relatório</w:t>
      </w:r>
      <w:r>
        <w:t xml:space="preserve"> no cabeçalho do dossier abre quatro documentos gerados com os dados atuais, com pré-visualização em «papel» e as saídas </w:t>
      </w:r>
      <w:r>
        <w:rPr>
          <w:b/>
          <w:bCs/>
        </w:rPr>
        <w:t xml:space="preserve">Copiar</w:t>
      </w:r>
      <w:r>
        <w:t xml:space="preserve">, </w:t>
      </w:r>
      <w:r>
        <w:rPr>
          <w:b/>
          <w:bCs/>
        </w:rPr>
        <w:t xml:space="preserve">Word</w:t>
      </w:r>
      <w:r>
        <w:t xml:space="preserve"> (.docx com tabelas reais), </w:t>
      </w:r>
      <w:r>
        <w:rPr>
          <w:b/>
          <w:bCs/>
        </w:rPr>
        <w:t xml:space="preserve">PDF</w:t>
      </w:r>
      <w:r>
        <w:t xml:space="preserve"> (impressão só do documento) e </w:t>
      </w:r>
      <w:r>
        <w:rPr>
          <w:b/>
          <w:bCs/>
        </w:rPr>
        <w:t xml:space="preserve">Guardar no dossier</w:t>
      </w:r>
      <w:r>
        <w:t xml:space="preserve"> (o ficheiro fica anexado em Documentos → Minutas e peças).</w:t>
      </w:r>
    </w:p>
    <w:tbl>
      <w:tblPr>
        <w:tblW w:type="dxa" w:w="9638"/>
        <w:tblBorders>
          <w:top w:val="single" w:color="D9DCE8" w:sz="4"/>
          <w:left w:val="single" w:color="D9DCE8" w:sz="4"/>
          <w:bottom w:val="single" w:color="D9DCE8" w:sz="4"/>
          <w:right w:val="single" w:color="D9DCE8" w:sz="4"/>
          <w:insideH w:val="single" w:color="D9DCE8" w:sz="4"/>
          <w:insideV w:val="single" w:color="D9DCE8" w:sz="4"/>
        </w:tblBorders>
      </w:tblPr>
      <w:tblGrid>
        <w:gridCol w:w="2600"/>
        <w:gridCol w:w="5400"/>
        <w:gridCol w:w="1638"/>
      </w:tblGrid>
      <w:tr>
        <w:trPr>
          <w:tblHeader/>
        </w:trPr>
        <w:tc>
          <w:tcPr>
            <w:tcW w:type="dxa" w:w="2600"/>
            <w:shd w:fill="EEF0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2D39B9"/>
                <w:sz w:val="19"/>
                <w:szCs w:val="19"/>
              </w:rPr>
              <w:t xml:space="preserve">Relatório</w:t>
            </w:r>
          </w:p>
        </w:tc>
        <w:tc>
          <w:tcPr>
            <w:tcW w:type="dxa" w:w="5400"/>
            <w:shd w:fill="EEF0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2D39B9"/>
                <w:sz w:val="19"/>
                <w:szCs w:val="19"/>
              </w:rPr>
              <w:t xml:space="preserve">Conteúdo</w:t>
            </w:r>
          </w:p>
        </w:tc>
        <w:tc>
          <w:tcPr>
            <w:tcW w:type="dxa" w:w="1638"/>
            <w:shd w:fill="EEF0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2D39B9"/>
                <w:sz w:val="19"/>
                <w:szCs w:val="19"/>
              </w:rPr>
              <w:t xml:space="preserve">Para quem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Relatório interno</w:t>
            </w:r>
          </w:p>
        </w:tc>
        <w:tc>
          <w:tcPr>
            <w:tcW w:type="dxa" w:w="5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Identificação, estado e indicadores, o que está a bloquear, próximas ações, checklist por fase (tarefas em aberto com estado, prazo e responsável), interessados, património e passivo com totais e meação, quotas guardadas, documentos em falta, agenda, notas importantes, observações e últimos contactos.</w:t>
            </w:r>
          </w:p>
        </w:tc>
        <w:tc>
          <w:tcPr>
            <w:tcW w:type="dxa" w:w="1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Equipa</w:t>
            </w:r>
          </w:p>
        </w:tc>
      </w:tr>
      <w:tr>
        <w:trPr>
          <w:cantSplit/>
        </w:trPr>
        <w:tc>
          <w:tcPr>
            <w:tcW w:type="dxa" w:w="26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Ponto de situação (cliente)</w:t>
            </w:r>
          </w:p>
        </w:tc>
        <w:tc>
          <w:tcPr>
            <w:tcW w:type="dxa" w:w="54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Onde estamos, o que já está feito, o que estamos a tratar, o que precisamos de si (só documentos que o cliente pode fornecer), próximos passos e prazos, contactos do escritório — sem notas internas nem referências legais. Disponível em </w:t>
            </w:r>
            <w:r>
              <w:rPr>
                <w:b/>
                <w:bCs/>
                <w:sz w:val="20"/>
                <w:szCs w:val="20"/>
              </w:rPr>
              <w:t xml:space="preserve">português, francês e inglês</w:t>
            </w:r>
            <w:r>
              <w:rPr>
                <w:sz w:val="20"/>
                <w:szCs w:val="20"/>
              </w:rPr>
              <w:t xml:space="preserve">.</w:t>
            </w:r>
          </w:p>
        </w:tc>
        <w:tc>
          <w:tcPr>
            <w:tcW w:type="dxa" w:w="1638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Cliente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Relação de bens</w:t>
            </w:r>
          </w:p>
        </w:tc>
        <w:tc>
          <w:tcPr>
            <w:tcW w:type="dxa" w:w="5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Verbas numeradas por grupo (imóveis com freguesia, artigo matricial e descrição predial; contas com IBAN; participações com NIPC e %; veículos com matrícula; aforro; outros), natureza, quota-parte, valor e base; passivo; resumo com ativo bruto, meação, passivo e valor da herança.</w:t>
            </w:r>
          </w:p>
        </w:tc>
        <w:tc>
          <w:tcPr>
            <w:tcW w:type="dxa" w:w="1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Finanças, notário, partilha</w:t>
            </w:r>
          </w:p>
        </w:tc>
      </w:tr>
      <w:tr>
        <w:trPr>
          <w:cantSplit/>
        </w:trPr>
        <w:tc>
          <w:tcPr>
            <w:tcW w:type="dxa" w:w="26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Mapa de partilha</w:t>
            </w:r>
          </w:p>
        </w:tc>
        <w:tc>
          <w:tcPr>
            <w:tcW w:type="dxa" w:w="54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Valor da herança, quotas de cada herdeiro, atribuição dos bens e tornas a pagar ou receber, mais as notas da partilha.</w:t>
            </w:r>
          </w:p>
        </w:tc>
        <w:tc>
          <w:tcPr>
            <w:tcW w:type="dxa" w:w="1638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Interessados, notário</w:t>
            </w:r>
          </w:p>
        </w:tc>
      </w:tr>
    </w:tbl>
    <w:p>
      <w:pPr>
        <w:keepNext/>
        <w:spacing w:after="60" w:before="12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180"/>
          <w:sz w:val="18"/>
          <w:szCs w:val="18"/>
        </w:rPr>
        <w:t xml:space="preserve">Figura 25 — Relatório interno na folha de relatórios.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180"/>
          <w:sz w:val="18"/>
          <w:szCs w:val="18"/>
        </w:rPr>
        <w:t xml:space="preserve">Figura 26 — Ponto de situação para o cliente (seletor de língua PT/FR/EN).</w:t>
      </w:r>
    </w:p>
    <w:p>
      <w:pPr>
        <w:pStyle w:val="Heading2"/>
      </w:pPr>
      <w:r>
        <w:t xml:space="preserve">8.1 Exportação CSV</w:t>
      </w:r>
    </w:p>
    <w:p>
      <w:pPr>
        <w:spacing w:after="120" w:line="276"/>
      </w:pPr>
      <w:r>
        <w:t xml:space="preserve">Para trabalhar em Excel: </w:t>
      </w:r>
      <w:r>
        <w:rPr>
          <w:b/>
          <w:bCs/>
        </w:rPr>
        <w:t xml:space="preserve">CSV</w:t>
      </w:r>
      <w:r>
        <w:t xml:space="preserve"> na lista de dossiers (a lista filtrada, 20 colunas), em «O que está a bloquear?» (todos os grupos) e no separador Património (relação de bens e passivo). Os ficheiros usam «;», vírgula decimal e UTF-8 com BOM, prontos para o Excel em português.</w:t>
      </w:r>
    </w:p>
    <w:p>
      <w:pPr>
        <w:pStyle w:val="Heading1"/>
        <w:pageBreakBefore/>
      </w:pPr>
      <w:r>
        <w:t xml:space="preserve">9. Agenda, prazos e lembretes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180"/>
          <w:sz w:val="18"/>
          <w:szCs w:val="18"/>
        </w:rPr>
        <w:t xml:space="preserve">Figura 27 — Agenda mensal com feriados e férias judiciais.</w:t>
      </w:r>
    </w:p>
    <w:p>
      <w:pPr>
        <w:pStyle w:val="Heading2"/>
      </w:pPr>
      <w:r>
        <w:t xml:space="preserve">9.1 Vistas e filtros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Mês</w:t>
      </w:r>
      <w:r>
        <w:t xml:space="preserve"> — grelha mensal com feriados assinalados, </w:t>
      </w:r>
      <w:r>
        <w:rPr>
          <w:b/>
          <w:bCs/>
        </w:rPr>
        <w:t xml:space="preserve">férias judiciais</w:t>
      </w:r>
      <w:r>
        <w:t xml:space="preserve"> sombreadas, e prazos, eventos e contactos a cores. Clique num dia para ver o painel do dia; </w:t>
      </w:r>
      <w:r>
        <w:rPr>
          <w:b/>
          <w:bCs/>
        </w:rPr>
        <w:t xml:space="preserve">duplo clique</w:t>
      </w:r>
      <w:r>
        <w:t xml:space="preserve"> para agendar nesse dia.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Lista</w:t>
      </w:r>
      <w:r>
        <w:t xml:space="preserve"> — ultrapassados e próximos 60/150 dias, agrupados por dia.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Filtros por tipo (Tudo · Prazos · Eventos · Contactos) e por responsável; navegação por mês e botão </w:t>
      </w:r>
      <w:r>
        <w:rPr>
          <w:b/>
          <w:bCs/>
        </w:rPr>
        <w:t xml:space="preserve">Hoje</w:t>
      </w:r>
      <w:r>
        <w:t xml:space="preserve">.</w:t>
      </w:r>
    </w:p>
    <w:p>
      <w:pPr>
        <w:pStyle w:val="Heading2"/>
      </w:pPr>
      <w:r>
        <w:t xml:space="preserve">9.2 Eventos</w:t>
      </w:r>
    </w:p>
    <w:p>
      <w:pPr>
        <w:spacing w:after="120" w:line="276"/>
      </w:pPr>
      <w:r>
        <w:rPr>
          <w:b/>
          <w:bCs/>
        </w:rPr>
        <w:t xml:space="preserve">Novo evento</w:t>
      </w:r>
      <w:r>
        <w:t xml:space="preserve"> cria uma reunião, escritura/partilha, prazo, diligência, lembrete ou outro, com data, hora, local, dossier e responsável. Se a data calhar num feriado ou fim de semana, a aplicação avisa. Os eventos podem ser marcados como concluídos, editados ou eliminados, e aparecem no painel, na agenda do dossier e nas minutas (ex.: data da próxima escritura).</w:t>
      </w:r>
    </w:p>
    <w:p>
      <w:pPr>
        <w:pStyle w:val="Heading2"/>
      </w:pPr>
      <w:r>
        <w:t xml:space="preserve">9.3 Calendário português</w:t>
      </w:r>
    </w:p>
    <w:p>
      <w:pPr>
        <w:spacing w:after="120" w:line="276"/>
      </w:pPr>
      <w:r>
        <w:t xml:space="preserve">A aplicação conhece o calendário civil e judicial português para calcular dias úteis e avisar quando um prazo termina num dia não útil: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13 feriados nacionais</w:t>
      </w:r>
      <w:r>
        <w:t xml:space="preserve"> (incluindo os móveis: Sexta-feira Santa, Páscoa, Corpo de Deus — calculados pelo algoritmo de Meeus) e o </w:t>
      </w:r>
      <w:r>
        <w:rPr>
          <w:b/>
          <w:bCs/>
        </w:rPr>
        <w:t xml:space="preserve">Carnaval</w:t>
      </w:r>
      <w:r>
        <w:t xml:space="preserve"> (facultativo, configurável).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Feriado municipal</w:t>
      </w:r>
      <w:r>
        <w:t xml:space="preserve"> configurável em Definições (lista de concelhos ou dia-mês personalizado).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Férias judiciais</w:t>
      </w:r>
      <w:r>
        <w:t xml:space="preserve">: 22 de dezembro a 3 de janeiro, Domingo de Ramos a Segunda-feira de Páscoa, 16 de julho a 31 de agosto.</w:t>
      </w:r>
    </w:p>
    <w:p>
      <w:pPr>
        <w:pStyle w:val="Heading2"/>
      </w:pPr>
      <w:r>
        <w:t xml:space="preserve">9.4 Prazos calculados automaticamente</w:t>
      </w:r>
    </w:p>
    <w:tbl>
      <w:tblPr>
        <w:tblW w:type="dxa" w:w="9638"/>
        <w:tblBorders>
          <w:top w:val="single" w:color="D9DCE8" w:sz="4"/>
          <w:left w:val="single" w:color="D9DCE8" w:sz="4"/>
          <w:bottom w:val="single" w:color="D9DCE8" w:sz="4"/>
          <w:right w:val="single" w:color="D9DCE8" w:sz="4"/>
          <w:insideH w:val="single" w:color="D9DCE8" w:sz="4"/>
          <w:insideV w:val="single" w:color="D9DCE8" w:sz="4"/>
        </w:tblBorders>
      </w:tblPr>
      <w:tblGrid>
        <w:gridCol w:w="3000"/>
        <w:gridCol w:w="3400"/>
        <w:gridCol w:w="3238"/>
      </w:tblGrid>
      <w:tr>
        <w:trPr>
          <w:tblHeader/>
        </w:trPr>
        <w:tc>
          <w:tcPr>
            <w:tcW w:type="dxa" w:w="3000"/>
            <w:shd w:fill="EEF0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2D39B9"/>
                <w:sz w:val="19"/>
                <w:szCs w:val="19"/>
              </w:rPr>
              <w:t xml:space="preserve">Prazo</w:t>
            </w:r>
          </w:p>
        </w:tc>
        <w:tc>
          <w:tcPr>
            <w:tcW w:type="dxa" w:w="3400"/>
            <w:shd w:fill="EEF0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2D39B9"/>
                <w:sz w:val="19"/>
                <w:szCs w:val="19"/>
              </w:rPr>
              <w:t xml:space="preserve">Regra aplicada</w:t>
            </w:r>
          </w:p>
        </w:tc>
        <w:tc>
          <w:tcPr>
            <w:tcW w:type="dxa" w:w="3238"/>
            <w:shd w:fill="EEF0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2D39B9"/>
                <w:sz w:val="19"/>
                <w:szCs w:val="19"/>
              </w:rPr>
              <w:t xml:space="preserve">Base legal (a validar)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Participação do óbito às Finanças (Imposto do Selo)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Até ao fim do 3.º mês seguinte ao do óbito.</w:t>
            </w:r>
          </w:p>
        </w:tc>
        <w:tc>
          <w:tcPr>
            <w:tcW w:type="dxa" w:w="3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Código do Imposto do Selo, art. 26.º, n.º 3.</w:t>
            </w:r>
          </w:p>
        </w:tc>
      </w:tr>
      <w:tr>
        <w:trPr>
          <w:cantSplit/>
        </w:trPr>
        <w:tc>
          <w:tcPr>
            <w:tcW w:type="dxa" w:w="30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Relação de bens</w:t>
            </w:r>
          </w:p>
        </w:tc>
        <w:tc>
          <w:tcPr>
            <w:tcW w:type="dxa" w:w="34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Acompanha a participação do Imposto do Selo.</w:t>
            </w:r>
          </w:p>
        </w:tc>
        <w:tc>
          <w:tcPr>
            <w:tcW w:type="dxa" w:w="3238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Código do Imposto do Selo, arts. 13.º e 26.º.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IRS do falecido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Até 30 de junho do ano seguinte ao do óbito.</w:t>
            </w:r>
          </w:p>
        </w:tc>
        <w:tc>
          <w:tcPr>
            <w:tcW w:type="dxa" w:w="3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Código do IRS (prazo normal de entrega).</w:t>
            </w:r>
          </w:p>
        </w:tc>
      </w:tr>
      <w:tr>
        <w:trPr>
          <w:cantSplit/>
        </w:trPr>
        <w:tc>
          <w:tcPr>
            <w:tcW w:type="dxa" w:w="30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Déclaration de succession (França)</w:t>
            </w:r>
          </w:p>
        </w:tc>
        <w:tc>
          <w:tcPr>
            <w:tcW w:type="dxa" w:w="34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6 meses após o óbito ocorrido em França; 12 meses se o óbito ocorreu fora de França.</w:t>
            </w:r>
          </w:p>
        </w:tc>
        <w:tc>
          <w:tcPr>
            <w:tcW w:type="dxa" w:w="3238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Code général des impôts, art. 641.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Direito de aceitar ou repudiar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Caduca 10 anos após o conhecimento da vocação sucessória.</w:t>
            </w:r>
          </w:p>
        </w:tc>
        <w:tc>
          <w:tcPr>
            <w:tcW w:type="dxa" w:w="3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Código Civil, art. 2059.º.</w:t>
            </w:r>
          </w:p>
        </w:tc>
      </w:tr>
    </w:tbl>
    <w:tbl>
      <w:tblPr>
        <w:tblW w:type="dxa" w:w="9638"/>
        <w:tblBorders>
          <w:top w:val="single" w:color="FFF6E5" w:sz="4"/>
          <w:left w:val="single" w:color="FFF6E5" w:sz="4"/>
          <w:bottom w:val="single" w:color="FFF6E5" w:sz="4"/>
          <w:right w:val="single" w:color="FFF6E5" w:sz="4"/>
          <w:insideH w:val="single" w:color="FFF6E5" w:sz="4"/>
          <w:insideV w:val="single" w:color="FFF6E5" w:sz="4"/>
        </w:tblBorders>
      </w:tblPr>
      <w:tblGrid>
        <w:gridCol w:w="9638"/>
      </w:tblGrid>
      <w:tr>
        <w:tc>
          <w:tcPr>
            <w:tcW w:type="dxa" w:w="9638"/>
            <w:shd w:fill="FFF6E5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8A5A00"/>
              </w:rPr>
              <w:t xml:space="preserve">Dias não úteis</w:t>
            </w:r>
          </w:p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Quando um prazo calculado termina num sábado, domingo ou feriado, a tarefa mostra o aviso e o </w:t>
            </w:r>
            <w:r>
              <w:rPr>
                <w:b/>
                <w:bCs/>
                <w:sz w:val="20"/>
                <w:szCs w:val="20"/>
              </w:rPr>
              <w:t xml:space="preserve">1.º dia útil seguinte</w:t>
            </w:r>
            <w:r>
              <w:rPr>
                <w:sz w:val="20"/>
                <w:szCs w:val="20"/>
              </w:rPr>
              <w:t xml:space="preserve">, mas mantém a data original. Confirme sempre a regra de contagem aplicável ao prazo em causa.</w:t>
            </w:r>
          </w:p>
        </w:tc>
      </w:tr>
    </w:tbl>
    <w:p>
      <w:pPr>
        <w:pStyle w:val="Heading2"/>
      </w:pPr>
      <w:r>
        <w:t xml:space="preserve">9.5 Exportar para o calendário (.ics)</w:t>
      </w:r>
    </w:p>
    <w:p>
      <w:pPr>
        <w:spacing w:after="120" w:line="276"/>
      </w:pPr>
      <w:r>
        <w:rPr>
          <w:b/>
          <w:bCs/>
        </w:rPr>
        <w:t xml:space="preserve">Exportar .ics</w:t>
      </w:r>
      <w:r>
        <w:t xml:space="preserve"> (na Agenda ou no separador Agenda do dossier) produz um ficheiro iCalendar (RFC 5545, fuso Europa/Lisboa) com alarmes: às 09:00 três dias antes de cada prazo e uma hora antes de cada evento. Opções: </w:t>
      </w:r>
      <w:r>
        <w:rPr>
          <w:b/>
          <w:bCs/>
        </w:rPr>
        <w:t xml:space="preserve">Próximos 90 dias</w:t>
      </w:r>
      <w:r>
        <w:t xml:space="preserve">, </w:t>
      </w:r>
      <w:r>
        <w:rPr>
          <w:b/>
          <w:bCs/>
        </w:rPr>
        <w:t xml:space="preserve">o mês visível</w:t>
      </w:r>
      <w:r>
        <w:t xml:space="preserve"> ou </w:t>
      </w:r>
      <w:r>
        <w:rPr>
          <w:b/>
          <w:bCs/>
        </w:rPr>
        <w:t xml:space="preserve">tudo o que está em aberto</w:t>
      </w:r>
      <w:r>
        <w:t xml:space="preserve">. Importe o ficheiro no Outlook, Google Calendar ou Calendário da Apple.</w:t>
      </w:r>
    </w:p>
    <w:p>
      <w:pPr>
        <w:pStyle w:val="Heading2"/>
      </w:pPr>
      <w:r>
        <w:t xml:space="preserve">9.6 Lembretes e notificações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Resumo diário</w:t>
      </w:r>
      <w:r>
        <w:t xml:space="preserve"> — ao abrir a aplicação pela primeira vez no dia, um aviso resume prazos ultrapassados e os próximos dias.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Notificações do sistema</w:t>
      </w:r>
      <w:r>
        <w:t xml:space="preserve"> — ative em </w:t>
      </w:r>
      <w:r>
        <w:rPr>
          <w:b/>
          <w:bCs/>
        </w:rPr>
        <w:t xml:space="preserve">Definições → Agenda e lembretes</w:t>
      </w:r>
      <w:r>
        <w:t xml:space="preserve"> (o navegador pede autorização). Clicar na notificação abre a agenda, mesmo com a aplicação instalada.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Contador no ícone</w:t>
      </w:r>
      <w:r>
        <w:t xml:space="preserve"> — com a aplicação instalada, o ícone mostra o número de pendentes (Badging API), quando o sistema o suporta.</w:t>
      </w:r>
    </w:p>
    <w:p>
      <w:pPr>
        <w:pStyle w:val="Heading1"/>
        <w:pageBreakBefore/>
      </w:pPr>
      <w:r>
        <w:t xml:space="preserve">10. Calculadora sucessória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180"/>
          <w:sz w:val="18"/>
          <w:szCs w:val="18"/>
        </w:rPr>
        <w:t xml:space="preserve">Figura 28 — Calculadora sucessória com um exemplo carregado.</w:t>
      </w:r>
    </w:p>
    <w:p>
      <w:pPr>
        <w:spacing w:after="120" w:line="276"/>
      </w:pPr>
      <w:r>
        <w:t xml:space="preserve">A </w:t>
      </w:r>
      <w:r>
        <w:rPr>
          <w:b/>
          <w:bCs/>
        </w:rPr>
        <w:t xml:space="preserve">Calculadora sucessória</w:t>
      </w:r>
      <w:r>
        <w:t xml:space="preserve"> aplica as regras da sucessão legítima e legitimária do Código Civil com </w:t>
      </w:r>
      <w:r>
        <w:rPr>
          <w:b/>
          <w:bCs/>
        </w:rPr>
        <w:t xml:space="preserve">frações exatas</w:t>
      </w:r>
      <w:r>
        <w:t xml:space="preserve"> e explica cada passo. Está disponível como ferramenta independente (</w:t>
      </w:r>
      <w:r>
        <w:rPr>
          <w:rFonts w:ascii="Consolas" w:cs="Consolas" w:eastAsia="Consolas" w:hAnsi="Consolas"/>
          <w:color w:val="2D39B9"/>
          <w:sz w:val="19"/>
          <w:szCs w:val="19"/>
        </w:rPr>
        <w:t xml:space="preserve">Calculadora sucessória</w:t>
      </w:r>
      <w:r>
        <w:t xml:space="preserve"> na barra lateral) e dentro de cada dossier (separador </w:t>
      </w:r>
      <w:r>
        <w:rPr>
          <w:b/>
          <w:bCs/>
        </w:rPr>
        <w:t xml:space="preserve">Quotas</w:t>
      </w:r>
      <w:r>
        <w:t xml:space="preserve">).</w:t>
      </w:r>
    </w:p>
    <w:p>
      <w:pPr>
        <w:pStyle w:val="Heading2"/>
      </w:pPr>
      <w:r>
        <w:t xml:space="preserve">10.1 Entradas</w:t>
      </w:r>
    </w:p>
    <w:tbl>
      <w:tblPr>
        <w:tblW w:type="dxa" w:w="9638"/>
        <w:tblBorders>
          <w:top w:val="single" w:color="D9DCE8" w:sz="4"/>
          <w:left w:val="single" w:color="D9DCE8" w:sz="4"/>
          <w:bottom w:val="single" w:color="D9DCE8" w:sz="4"/>
          <w:right w:val="single" w:color="D9DCE8" w:sz="4"/>
          <w:insideH w:val="single" w:color="D9DCE8" w:sz="4"/>
          <w:insideV w:val="single" w:color="D9DCE8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shd w:fill="EEF0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2D39B9"/>
                <w:sz w:val="19"/>
                <w:szCs w:val="19"/>
              </w:rPr>
              <w:t xml:space="preserve">Secção</w:t>
            </w:r>
          </w:p>
        </w:tc>
        <w:tc>
          <w:tcPr>
            <w:tcW w:type="dxa" w:w="6638"/>
            <w:shd w:fill="EEF0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2D39B9"/>
                <w:sz w:val="19"/>
                <w:szCs w:val="19"/>
              </w:rPr>
              <w:t xml:space="preserve">O que indicar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De cujus e cônjuge</w:t>
            </w:r>
          </w:p>
        </w:tc>
        <w:tc>
          <w:tcPr>
            <w:tcW w:type="dxa" w:w="6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Nome, existência de cônjuge (ou unido de facto) e </w:t>
            </w:r>
            <w:r>
              <w:rPr>
                <w:b/>
                <w:bCs/>
                <w:sz w:val="20"/>
                <w:szCs w:val="20"/>
              </w:rPr>
              <w:t xml:space="preserve">regime de bens</w:t>
            </w:r>
            <w:r>
              <w:rPr>
                <w:sz w:val="20"/>
                <w:szCs w:val="20"/>
              </w:rPr>
              <w:t xml:space="preserve"> (comunhão de adquiridos, comunhão geral, separação) — determina a meação.</w:t>
            </w:r>
          </w:p>
        </w:tc>
      </w:tr>
      <w:tr>
        <w:trPr>
          <w:cantSplit/>
        </w:trPr>
        <w:tc>
          <w:tcPr>
            <w:tcW w:type="dxa" w:w="30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Descendentes</w:t>
            </w:r>
          </w:p>
        </w:tc>
        <w:tc>
          <w:tcPr>
            <w:tcW w:type="dxa" w:w="6638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Filhos e, por representação, netos e bisnetos (estirpes). Para cada pessoa: vivo/pré-falecido, repúdio, indignidade e os seus próprios descendentes.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Ascendentes</w:t>
            </w:r>
          </w:p>
        </w:tc>
        <w:tc>
          <w:tcPr>
            <w:tcW w:type="dxa" w:w="6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Pais e avós vivos (os pais afastam os avós).</w:t>
            </w:r>
          </w:p>
        </w:tc>
      </w:tr>
      <w:tr>
        <w:trPr>
          <w:cantSplit/>
        </w:trPr>
        <w:tc>
          <w:tcPr>
            <w:tcW w:type="dxa" w:w="30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Irmãos e colaterais</w:t>
            </w:r>
          </w:p>
        </w:tc>
        <w:tc>
          <w:tcPr>
            <w:tcW w:type="dxa" w:w="6638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Irmãos germanos e unilaterais, sobrinhos por representação, colaterais até ao 4.º grau.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Massa de cálculo</w:t>
            </w:r>
          </w:p>
        </w:tc>
        <w:tc>
          <w:tcPr>
            <w:tcW w:type="dxa" w:w="6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Ativo, passivo, doações em vida (colação/inoficiosidade) e disposições a favor de terceiros (testamento).</w:t>
            </w:r>
          </w:p>
        </w:tc>
      </w:tr>
    </w:tbl>
    <w:p>
      <w:pPr>
        <w:pStyle w:val="Heading2"/>
      </w:pPr>
      <w:r>
        <w:t xml:space="preserve">10.2 Resultados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Quotas hereditárias</w:t>
      </w:r>
      <w:r>
        <w:t xml:space="preserve"> de cada herdeiro em fração e percentagem, com o valor estimado quando há património registado; barra 100 % empilhada e tabela completa.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Legítima</w:t>
      </w:r>
      <w:r>
        <w:t xml:space="preserve"> e </w:t>
      </w:r>
      <w:r>
        <w:rPr>
          <w:b/>
          <w:bCs/>
        </w:rPr>
        <w:t xml:space="preserve">quota disponível</w:t>
      </w:r>
      <w:r>
        <w:t xml:space="preserve"> (arts. 2156.º a 2161.º), com a parte de cada legitimário; medidor da legítima.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Meação</w:t>
      </w:r>
      <w:r>
        <w:t xml:space="preserve"> do cônjuge nos bens comuns (arts. 1688.º e 1689.º).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Inoficiosidade</w:t>
      </w:r>
      <w:r>
        <w:t xml:space="preserve"> das disposições a terceiros quando excedem a quota disponível (arts. 2168.º e ss.).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Estimativa de Imposto do Selo</w:t>
      </w:r>
      <w:r>
        <w:t xml:space="preserve"> (10 %) para irmãos e colaterais, que não beneficiam da isenção do art. 6.º, al. e) do CIS.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Fundamentação passo a passo</w:t>
      </w:r>
      <w:r>
        <w:t xml:space="preserve"> com as referências legais e avisos (ex.: «os pais afastam os avós», «o cônjuge nunca recebe menos de ¼»).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Árvore genealógica</w:t>
      </w:r>
      <w:r>
        <w:t xml:space="preserve"> (avós → pais → irmãos e de cujus com cônjuge → filhos → netos) com a quota de cada herdeiro.</w:t>
      </w:r>
    </w:p>
    <w:tbl>
      <w:tblPr>
        <w:tblW w:type="dxa" w:w="9638"/>
        <w:tblBorders>
          <w:top w:val="single" w:color="D9DCE8" w:sz="4"/>
          <w:left w:val="single" w:color="D9DCE8" w:sz="4"/>
          <w:bottom w:val="single" w:color="D9DCE8" w:sz="4"/>
          <w:right w:val="single" w:color="D9DCE8" w:sz="4"/>
          <w:insideH w:val="single" w:color="D9DCE8" w:sz="4"/>
          <w:insideV w:val="single" w:color="D9DCE8" w:sz="4"/>
        </w:tblBorders>
      </w:tblPr>
      <w:tblGrid>
        <w:gridCol w:w="6200"/>
        <w:gridCol w:w="3438"/>
      </w:tblGrid>
      <w:tr>
        <w:trPr>
          <w:tblHeader/>
        </w:trPr>
        <w:tc>
          <w:tcPr>
            <w:tcW w:type="dxa" w:w="6200"/>
            <w:shd w:fill="EEF0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2D39B9"/>
                <w:sz w:val="19"/>
                <w:szCs w:val="19"/>
              </w:rPr>
              <w:t xml:space="preserve">Regra</w:t>
            </w:r>
          </w:p>
        </w:tc>
        <w:tc>
          <w:tcPr>
            <w:tcW w:type="dxa" w:w="3438"/>
            <w:shd w:fill="EEF0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2D39B9"/>
                <w:sz w:val="19"/>
                <w:szCs w:val="19"/>
              </w:rPr>
              <w:t xml:space="preserve">Artigos do Código Civil</w:t>
            </w:r>
          </w:p>
        </w:tc>
      </w:tr>
      <w:tr>
        <w:trPr>
          <w:cantSplit/>
        </w:trPr>
        <w:tc>
          <w:tcPr>
            <w:tcW w:type="dxa" w:w="62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Classes de sucessíveis e preferência de classes e graus</w:t>
            </w:r>
          </w:p>
        </w:tc>
        <w:tc>
          <w:tcPr>
            <w:tcW w:type="dxa" w:w="34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2133.º, 2134.º, 2135.º</w:t>
            </w:r>
          </w:p>
        </w:tc>
      </w:tr>
      <w:tr>
        <w:trPr>
          <w:cantSplit/>
        </w:trPr>
        <w:tc>
          <w:tcPr>
            <w:tcW w:type="dxa" w:w="62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Cônjuge e descendentes; cônjuge nunca recebe menos de ¼</w:t>
            </w:r>
          </w:p>
        </w:tc>
        <w:tc>
          <w:tcPr>
            <w:tcW w:type="dxa" w:w="3438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2139.º</w:t>
            </w:r>
          </w:p>
        </w:tc>
      </w:tr>
      <w:tr>
        <w:trPr>
          <w:cantSplit/>
        </w:trPr>
        <w:tc>
          <w:tcPr>
            <w:tcW w:type="dxa" w:w="62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Cônjuge e ascendentes (⅔ / ⅓)</w:t>
            </w:r>
          </w:p>
        </w:tc>
        <w:tc>
          <w:tcPr>
            <w:tcW w:type="dxa" w:w="34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2142.º</w:t>
            </w:r>
          </w:p>
        </w:tc>
      </w:tr>
      <w:tr>
        <w:trPr>
          <w:cantSplit/>
        </w:trPr>
        <w:tc>
          <w:tcPr>
            <w:tcW w:type="dxa" w:w="62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Cônjuge sozinho; ascendentes; irmãos (germanos ×2) e colaterais</w:t>
            </w:r>
          </w:p>
        </w:tc>
        <w:tc>
          <w:tcPr>
            <w:tcW w:type="dxa" w:w="3438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2144.º, 2146.º, 2147.º, 2148.º</w:t>
            </w:r>
          </w:p>
        </w:tc>
      </w:tr>
      <w:tr>
        <w:trPr>
          <w:cantSplit/>
        </w:trPr>
        <w:tc>
          <w:tcPr>
            <w:tcW w:type="dxa" w:w="62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Estado</w:t>
            </w:r>
          </w:p>
        </w:tc>
        <w:tc>
          <w:tcPr>
            <w:tcW w:type="dxa" w:w="34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2152.º</w:t>
            </w:r>
          </w:p>
        </w:tc>
      </w:tr>
      <w:tr>
        <w:trPr>
          <w:cantSplit/>
        </w:trPr>
        <w:tc>
          <w:tcPr>
            <w:tcW w:type="dxa" w:w="62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Representação por estirpes; repúdio e indignidade</w:t>
            </w:r>
          </w:p>
        </w:tc>
        <w:tc>
          <w:tcPr>
            <w:tcW w:type="dxa" w:w="3438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2039.º, 2042.º, 2044.º</w:t>
            </w:r>
          </w:p>
        </w:tc>
      </w:tr>
      <w:tr>
        <w:trPr>
          <w:cantSplit/>
        </w:trPr>
        <w:tc>
          <w:tcPr>
            <w:tcW w:type="dxa" w:w="62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Legítima, quota disponível, cálculo da legítima</w:t>
            </w:r>
          </w:p>
        </w:tc>
        <w:tc>
          <w:tcPr>
            <w:tcW w:type="dxa" w:w="34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2156.º a 2162.º</w:t>
            </w:r>
          </w:p>
        </w:tc>
      </w:tr>
      <w:tr>
        <w:trPr>
          <w:cantSplit/>
        </w:trPr>
        <w:tc>
          <w:tcPr>
            <w:tcW w:type="dxa" w:w="62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Inoficiosidade</w:t>
            </w:r>
          </w:p>
        </w:tc>
        <w:tc>
          <w:tcPr>
            <w:tcW w:type="dxa" w:w="3438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2168.º e seguintes</w:t>
            </w:r>
          </w:p>
        </w:tc>
      </w:tr>
      <w:tr>
        <w:trPr>
          <w:cantSplit/>
        </w:trPr>
        <w:tc>
          <w:tcPr>
            <w:tcW w:type="dxa" w:w="62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Meação</w:t>
            </w:r>
          </w:p>
        </w:tc>
        <w:tc>
          <w:tcPr>
            <w:tcW w:type="dxa" w:w="34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1688.º, 1689.º</w:t>
            </w:r>
          </w:p>
        </w:tc>
      </w:tr>
    </w:tbl>
    <w:p>
      <w:pPr>
        <w:pStyle w:val="Heading2"/>
      </w:pPr>
      <w:r>
        <w:t xml:space="preserve">10.3 Exemplos, dossiers e impressão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Exemplos</w:t>
      </w:r>
      <w:r>
        <w:t xml:space="preserve"> — cenários prontos (cônjuge e filhos, representação, ascendentes, irmãos, etc.) para verificar rapidamente uma regra.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Importar dossier</w:t>
      </w:r>
      <w:r>
        <w:t xml:space="preserve"> — carrega os interessados, o regime de bens e o património de um dossier; </w:t>
      </w:r>
      <w:r>
        <w:rPr>
          <w:b/>
          <w:bCs/>
        </w:rPr>
        <w:t xml:space="preserve">Guardar em…</w:t>
      </w:r>
      <w:r>
        <w:t xml:space="preserve"> grava o cálculo no separador Quotas do dossier escolhido.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Imprimir</w:t>
      </w:r>
      <w:r>
        <w:t xml:space="preserve"> — imprime apenas o cálculo e a fundamentação (ou «Guardar como PDF» no diálogo de impressão).</w:t>
      </w:r>
    </w:p>
    <w:tbl>
      <w:tblPr>
        <w:tblW w:type="dxa" w:w="9638"/>
        <w:tblBorders>
          <w:top w:val="single" w:color="FFF6E5" w:sz="4"/>
          <w:left w:val="single" w:color="FFF6E5" w:sz="4"/>
          <w:bottom w:val="single" w:color="FFF6E5" w:sz="4"/>
          <w:right w:val="single" w:color="FFF6E5" w:sz="4"/>
          <w:insideH w:val="single" w:color="FFF6E5" w:sz="4"/>
          <w:insideV w:val="single" w:color="FFF6E5" w:sz="4"/>
        </w:tblBorders>
      </w:tblPr>
      <w:tblGrid>
        <w:gridCol w:w="9638"/>
      </w:tblGrid>
      <w:tr>
        <w:tc>
          <w:tcPr>
            <w:tcW w:type="dxa" w:w="9638"/>
            <w:shd w:fill="FFF6E5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8A5A00"/>
              </w:rPr>
              <w:t xml:space="preserve">Limites da calculadora</w:t>
            </w:r>
          </w:p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 calculadora cobre a sucessão legítima e legitimária, a meação e a inoficiosidade nos termos indicados. Testamentos com substituições, legados específicos, pactos sucessórios, direitos de habitação e regimes estrangeiros exigem análise individual. Use o resultado como ponto de partida fundamentado, não como decisão final.</w:t>
            </w:r>
          </w:p>
        </w:tc>
      </w:tr>
    </w:tbl>
    <w:p>
      <w:pPr>
        <w:keepNext/>
        <w:spacing w:after="60" w:before="120"/>
        <w:jc w:val="center"/>
      </w:pPr>
      <w:r>
        <w:drawing>
          <wp:inline distT="0" distB="0" distL="0" distR="0">
            <wp:extent cx="4886325" cy="685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325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180"/>
          <w:sz w:val="18"/>
          <w:szCs w:val="18"/>
        </w:rPr>
        <w:t xml:space="preserve">Figura 29 — Calculadora sucessória completa: quotas, legítima, fundamentação e árvore genealógica.</w:t>
      </w:r>
    </w:p>
    <w:p>
      <w:pPr>
        <w:pStyle w:val="Heading1"/>
        <w:pageBreakBefore/>
      </w:pPr>
      <w:r>
        <w:t xml:space="preserve">11. Minutas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180"/>
          <w:sz w:val="18"/>
          <w:szCs w:val="18"/>
        </w:rPr>
        <w:t xml:space="preserve">Figura 30 — Página «Minutas» com as minutas-base e as do escritório.</w:t>
      </w:r>
    </w:p>
    <w:p>
      <w:pPr>
        <w:pStyle w:val="Heading2"/>
      </w:pPr>
      <w:r>
        <w:t xml:space="preserve">11.1 Minutas-base</w:t>
      </w:r>
    </w:p>
    <w:p>
      <w:pPr>
        <w:spacing w:after="120" w:line="276"/>
      </w:pPr>
      <w:r>
        <w:t xml:space="preserve">A aplicação inclui treze minutas-base, em português, francês e inglês, prontas a preencher com os dados do dossier:</w:t>
      </w:r>
    </w:p>
    <w:tbl>
      <w:tblPr>
        <w:tblW w:type="dxa" w:w="9638"/>
        <w:tblBorders>
          <w:top w:val="single" w:color="D9DCE8" w:sz="4"/>
          <w:left w:val="single" w:color="D9DCE8" w:sz="4"/>
          <w:bottom w:val="single" w:color="D9DCE8" w:sz="4"/>
          <w:right w:val="single" w:color="D9DCE8" w:sz="4"/>
          <w:insideH w:val="single" w:color="D9DCE8" w:sz="4"/>
          <w:insideV w:val="single" w:color="D9DCE8" w:sz="4"/>
        </w:tblBorders>
      </w:tblPr>
      <w:tblGrid>
        <w:gridCol w:w="3300"/>
        <w:gridCol w:w="1500"/>
        <w:gridCol w:w="1200"/>
        <w:gridCol w:w="3638"/>
      </w:tblGrid>
      <w:tr>
        <w:trPr>
          <w:tblHeader/>
        </w:trPr>
        <w:tc>
          <w:tcPr>
            <w:tcW w:type="dxa" w:w="3300"/>
            <w:shd w:fill="EEF0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2D39B9"/>
                <w:sz w:val="19"/>
                <w:szCs w:val="19"/>
              </w:rPr>
              <w:t xml:space="preserve">Minuta</w:t>
            </w:r>
          </w:p>
        </w:tc>
        <w:tc>
          <w:tcPr>
            <w:tcW w:type="dxa" w:w="1500"/>
            <w:shd w:fill="EEF0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2D39B9"/>
                <w:sz w:val="19"/>
                <w:szCs w:val="19"/>
              </w:rPr>
              <w:t xml:space="preserve">Categoria</w:t>
            </w:r>
          </w:p>
        </w:tc>
        <w:tc>
          <w:tcPr>
            <w:tcW w:type="dxa" w:w="1200"/>
            <w:shd w:fill="EEF0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2D39B9"/>
                <w:sz w:val="19"/>
                <w:szCs w:val="19"/>
              </w:rPr>
              <w:t xml:space="preserve">Língua</w:t>
            </w:r>
          </w:p>
        </w:tc>
        <w:tc>
          <w:tcPr>
            <w:tcW w:type="dxa" w:w="3638"/>
            <w:shd w:fill="EEF0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2D39B9"/>
                <w:sz w:val="19"/>
                <w:szCs w:val="19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Email ao cliente — documentos em falta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Cliente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Português</w:t>
            </w:r>
          </w:p>
        </w:tc>
        <w:tc>
          <w:tcPr>
            <w:tcW w:type="dxa" w:w="3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Lista automaticamente os documentos ainda em falta no dossier.</w:t>
            </w:r>
          </w:p>
        </w:tc>
      </w:tr>
      <w:tr>
        <w:trPr>
          <w:cantSplit/>
        </w:trPr>
        <w:tc>
          <w:tcPr>
            <w:tcW w:type="dxa" w:w="33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Email ao cliente — ponto de situação</w:t>
            </w:r>
          </w:p>
        </w:tc>
        <w:tc>
          <w:tcPr>
            <w:tcW w:type="dxa" w:w="15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Cliente</w:t>
            </w:r>
          </w:p>
        </w:tc>
        <w:tc>
          <w:tcPr>
            <w:tcW w:type="dxa" w:w="12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Português</w:t>
            </w:r>
          </w:p>
        </w:tc>
        <w:tc>
          <w:tcPr>
            <w:tcW w:type="dxa" w:w="3638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Progresso, próximas ações e prazos do dossier.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Carta ao cabeça-de-casal — obrigações e prazos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Cliente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Português</w:t>
            </w:r>
          </w:p>
        </w:tc>
        <w:tc>
          <w:tcPr>
            <w:tcW w:type="dxa" w:w="3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Explica as obrigações do cabeça-de-casal e os prazos fiscais.</w:t>
            </w:r>
          </w:p>
        </w:tc>
      </w:tr>
      <w:tr>
        <w:trPr>
          <w:cantSplit/>
        </w:trPr>
        <w:tc>
          <w:tcPr>
            <w:tcW w:type="dxa" w:w="33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Email ao cliente — marcação de escritura</w:t>
            </w:r>
          </w:p>
        </w:tc>
        <w:tc>
          <w:tcPr>
            <w:tcW w:type="dxa" w:w="15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Cliente</w:t>
            </w:r>
          </w:p>
        </w:tc>
        <w:tc>
          <w:tcPr>
            <w:tcW w:type="dxa" w:w="12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Português</w:t>
            </w:r>
          </w:p>
        </w:tc>
        <w:tc>
          <w:tcPr>
            <w:tcW w:type="dxa" w:w="3638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Confirma data, hora e local, e lista o que levar.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Carta ao banco — saldos à data do óbito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Bancos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Português</w:t>
            </w:r>
          </w:p>
        </w:tc>
        <w:tc>
          <w:tcPr>
            <w:tcW w:type="dxa" w:w="3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Pedido de informação de contas, saldos, titularidade e responsabilidades.</w:t>
            </w:r>
          </w:p>
        </w:tc>
      </w:tr>
      <w:tr>
        <w:trPr>
          <w:cantSplit/>
        </w:trPr>
        <w:tc>
          <w:tcPr>
            <w:tcW w:type="dxa" w:w="33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Pedido ao Banco de Portugal — contas do falecido</w:t>
            </w:r>
          </w:p>
        </w:tc>
        <w:tc>
          <w:tcPr>
            <w:tcW w:type="dxa" w:w="15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Bancos</w:t>
            </w:r>
          </w:p>
        </w:tc>
        <w:tc>
          <w:tcPr>
            <w:tcW w:type="dxa" w:w="12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Português</w:t>
            </w:r>
          </w:p>
        </w:tc>
        <w:tc>
          <w:tcPr>
            <w:tcW w:type="dxa" w:w="3638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Carta de acompanhamento do pedido à Base de Dados de Contas.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Pedido de informação sobre existência de testamento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Registos e notariado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Português</w:t>
            </w:r>
          </w:p>
        </w:tc>
        <w:tc>
          <w:tcPr>
            <w:tcW w:type="dxa" w:w="3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Pedido dirigido aos serviços de registo.</w:t>
            </w:r>
          </w:p>
        </w:tc>
      </w:tr>
      <w:tr>
        <w:trPr>
          <w:cantSplit/>
        </w:trPr>
        <w:tc>
          <w:tcPr>
            <w:tcW w:type="dxa" w:w="33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Procuração forense — processo sucessório</w:t>
            </w:r>
          </w:p>
        </w:tc>
        <w:tc>
          <w:tcPr>
            <w:tcW w:type="dxa" w:w="15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Procurações</w:t>
            </w:r>
          </w:p>
        </w:tc>
        <w:tc>
          <w:tcPr>
            <w:tcW w:type="dxa" w:w="12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Português</w:t>
            </w:r>
          </w:p>
        </w:tc>
        <w:tc>
          <w:tcPr>
            <w:tcW w:type="dxa" w:w="3638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Poderes forenses gerais e especiais para os atos da sucessão.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Nota interna — herdeiros, bens e dívidas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Interno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Português</w:t>
            </w:r>
          </w:p>
        </w:tc>
        <w:tc>
          <w:tcPr>
            <w:tcW w:type="dxa" w:w="3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Resumo do dossier para reunião de equipa ou arquivo.</w:t>
            </w:r>
          </w:p>
        </w:tc>
      </w:tr>
      <w:tr>
        <w:trPr>
          <w:cantSplit/>
        </w:trPr>
        <w:tc>
          <w:tcPr>
            <w:tcW w:type="dxa" w:w="33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E-mail au client — documents manquants</w:t>
            </w:r>
          </w:p>
        </w:tc>
        <w:tc>
          <w:tcPr>
            <w:tcW w:type="dxa" w:w="15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Cliente</w:t>
            </w:r>
          </w:p>
        </w:tc>
        <w:tc>
          <w:tcPr>
            <w:tcW w:type="dxa" w:w="12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Francês</w:t>
            </w:r>
          </w:p>
        </w:tc>
        <w:tc>
          <w:tcPr>
            <w:tcW w:type="dxa" w:w="3638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Versão francesa do email ao cliente com a lista automática dos documentos em falta.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Email to client — status update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Cliente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Inglês</w:t>
            </w:r>
          </w:p>
        </w:tc>
        <w:tc>
          <w:tcPr>
            <w:tcW w:type="dxa" w:w="3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Versão inglesa do ponto de situação ao cliente: progresso, próximas ações e prazos.</w:t>
            </w:r>
          </w:p>
        </w:tc>
      </w:tr>
      <w:tr>
        <w:trPr>
          <w:cantSplit/>
        </w:trPr>
        <w:tc>
          <w:tcPr>
            <w:tcW w:type="dxa" w:w="33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Lettre au notaire (France) — coordination de la succession</w:t>
            </w:r>
          </w:p>
        </w:tc>
        <w:tc>
          <w:tcPr>
            <w:tcW w:type="dxa" w:w="15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Internacional</w:t>
            </w:r>
          </w:p>
        </w:tc>
        <w:tc>
          <w:tcPr>
            <w:tcW w:type="dxa" w:w="12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Francês</w:t>
            </w:r>
          </w:p>
        </w:tc>
        <w:tc>
          <w:tcPr>
            <w:tcW w:type="dxa" w:w="3638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Carta em francês ao notaire francês: acte de notoriété, déclaration de succession, CSE.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Letter to a foreign bank — balances at date of death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Internacional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Inglês</w:t>
            </w:r>
          </w:p>
        </w:tc>
        <w:tc>
          <w:tcPr>
            <w:tcW w:type="dxa" w:w="3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Carta em inglês a um banco estrangeiro.</w:t>
            </w:r>
          </w:p>
        </w:tc>
      </w:tr>
    </w:tbl>
    <w:p>
      <w:pPr>
        <w:pStyle w:val="Heading2"/>
      </w:pPr>
      <w:r>
        <w:t xml:space="preserve">11.2 Compositor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180"/>
          <w:sz w:val="18"/>
          <w:szCs w:val="18"/>
        </w:rPr>
        <w:t xml:space="preserve">Figura 31 — Compositor de minutas com o email «documentos em falta» preenchido a partir de um dossier.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t xml:space="preserve">Clique em </w:t>
      </w:r>
      <w:r>
        <w:rPr>
          <w:b/>
          <w:bCs/>
        </w:rPr>
        <w:t xml:space="preserve">Usar</w:t>
      </w:r>
      <w:r>
        <w:t xml:space="preserve"> numa minuta (ou, a partir de um dossier, no atalho de minutas).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t xml:space="preserve">Escolha o </w:t>
      </w:r>
      <w:r>
        <w:rPr>
          <w:b/>
          <w:bCs/>
        </w:rPr>
        <w:t xml:space="preserve">dossier</w:t>
      </w:r>
      <w:r>
        <w:t xml:space="preserve"> — os campos automáticos são preenchidos (falecido, cliente, cônjuge, cabeça-de-casal, prazos calculados, progresso, valores, próxima escritura, listas de herdeiros, bens, bancos, dívidas, documentos em falta, próximas ações e prazos). Sem dossier, preenche-se à mão.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t xml:space="preserve">Preencha os </w:t>
      </w:r>
      <w:r>
        <w:rPr>
          <w:b/>
          <w:bCs/>
        </w:rPr>
        <w:t xml:space="preserve">parâmetros</w:t>
      </w:r>
      <w:r>
        <w:t xml:space="preserve"> pedidos pela minuta (ex.: banco destinatário — com sugestões a partir do património; data da escritura — a partir da agenda).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t xml:space="preserve">Verifique os </w:t>
      </w:r>
      <w:r>
        <w:rPr>
          <w:b/>
          <w:bCs/>
        </w:rPr>
        <w:t xml:space="preserve">campos por preencher</w:t>
      </w:r>
      <w:r>
        <w:t xml:space="preserve">, realçados no texto e listados na caixa amarela. Complete os dados do dossier ou edite o texto.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b/>
          <w:bCs/>
        </w:rPr>
        <w:t xml:space="preserve">Editar texto</w:t>
      </w:r>
      <w:r>
        <w:t xml:space="preserve"> permite ajustar livremente (formatação mínima: </w:t>
      </w:r>
      <w:r>
        <w:rPr>
          <w:rFonts w:ascii="Consolas" w:cs="Consolas" w:eastAsia="Consolas" w:hAnsi="Consolas"/>
          <w:color w:val="2D39B9"/>
          <w:sz w:val="19"/>
          <w:szCs w:val="19"/>
        </w:rPr>
        <w:t xml:space="preserve"># título</w:t>
      </w:r>
      <w:r>
        <w:t xml:space="preserve">, </w:t>
      </w:r>
      <w:r>
        <w:rPr>
          <w:rFonts w:ascii="Consolas" w:cs="Consolas" w:eastAsia="Consolas" w:hAnsi="Consolas"/>
          <w:color w:val="2D39B9"/>
          <w:sz w:val="19"/>
          <w:szCs w:val="19"/>
        </w:rPr>
        <w:t xml:space="preserve">## secção</w:t>
      </w:r>
      <w:r>
        <w:t xml:space="preserve">, </w:t>
      </w:r>
      <w:r>
        <w:rPr>
          <w:rFonts w:ascii="Consolas" w:cs="Consolas" w:eastAsia="Consolas" w:hAnsi="Consolas"/>
          <w:color w:val="2D39B9"/>
          <w:sz w:val="19"/>
          <w:szCs w:val="19"/>
        </w:rPr>
        <w:t xml:space="preserve">- item</w:t>
      </w:r>
      <w:r>
        <w:t xml:space="preserve">, </w:t>
      </w:r>
      <w:r>
        <w:rPr>
          <w:rFonts w:ascii="Consolas" w:cs="Consolas" w:eastAsia="Consolas" w:hAnsi="Consolas"/>
          <w:color w:val="2D39B9"/>
          <w:sz w:val="19"/>
          <w:szCs w:val="19"/>
        </w:rPr>
        <w:t xml:space="preserve">**negrito**</w:t>
      </w:r>
      <w:r>
        <w:t xml:space="preserve">); </w:t>
      </w:r>
      <w:r>
        <w:rPr>
          <w:b/>
          <w:bCs/>
        </w:rPr>
        <w:t xml:space="preserve">Repor o modelo</w:t>
      </w:r>
      <w:r>
        <w:t xml:space="preserve"> volta ao original.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t xml:space="preserve">Escolha a saída: </w:t>
      </w:r>
      <w:r>
        <w:rPr>
          <w:b/>
          <w:bCs/>
        </w:rPr>
        <w:t xml:space="preserve">Copiar</w:t>
      </w:r>
      <w:r>
        <w:t xml:space="preserve"> (texto), </w:t>
      </w:r>
      <w:r>
        <w:rPr>
          <w:b/>
          <w:bCs/>
        </w:rPr>
        <w:t xml:space="preserve">Word</w:t>
      </w:r>
      <w:r>
        <w:t xml:space="preserve"> (.docx real, Office Open XML), </w:t>
      </w:r>
      <w:r>
        <w:rPr>
          <w:b/>
          <w:bCs/>
        </w:rPr>
        <w:t xml:space="preserve">PDF</w:t>
      </w:r>
      <w:r>
        <w:t xml:space="preserve"> (impressão só do documento), </w:t>
      </w:r>
      <w:r>
        <w:rPr>
          <w:b/>
          <w:bCs/>
        </w:rPr>
        <w:t xml:space="preserve">Email</w:t>
      </w:r>
      <w:r>
        <w:t xml:space="preserve"> (abre o programa de email com destinatário, assunto e texto) ou </w:t>
      </w:r>
      <w:r>
        <w:rPr>
          <w:b/>
          <w:bCs/>
        </w:rPr>
        <w:t xml:space="preserve">Guardar no dossier</w:t>
      </w:r>
      <w:r>
        <w:t xml:space="preserve"> (o .docx fica anexado em Documentos → Minutas e peças e regista-se no histórico).</w:t>
      </w:r>
    </w:p>
    <w:p>
      <w:pPr>
        <w:pStyle w:val="Heading2"/>
      </w:pPr>
      <w:r>
        <w:t xml:space="preserve">11.3 Minutas do escritório</w:t>
      </w:r>
    </w:p>
    <w:p>
      <w:pPr>
        <w:spacing w:after="120" w:line="276"/>
      </w:pPr>
      <w:r>
        <w:t xml:space="preserve">Em </w:t>
      </w:r>
      <w:r>
        <w:rPr>
          <w:b/>
          <w:bCs/>
        </w:rPr>
        <w:t xml:space="preserve">Nova minuta</w:t>
      </w:r>
      <w:r>
        <w:t xml:space="preserve"> (ou </w:t>
      </w:r>
      <w:r>
        <w:rPr>
          <w:b/>
          <w:bCs/>
        </w:rPr>
        <w:t xml:space="preserve">Duplicar</w:t>
      </w:r>
      <w:r>
        <w:t xml:space="preserve"> uma minuta-base) crie modelos próprios: título, categoria, língua, assunto, parâmetros e corpo. A </w:t>
      </w:r>
      <w:r>
        <w:rPr>
          <w:b/>
          <w:bCs/>
        </w:rPr>
        <w:t xml:space="preserve">paleta de campos</w:t>
      </w:r>
      <w:r>
        <w:t xml:space="preserve"> insere os campos automáticos entre chavetas duplas (ex.: </w:t>
      </w:r>
      <w:r>
        <w:rPr>
          <w:rFonts w:ascii="Consolas" w:cs="Consolas" w:eastAsia="Consolas" w:hAnsi="Consolas"/>
          <w:color w:val="2D39B9"/>
          <w:sz w:val="19"/>
          <w:szCs w:val="19"/>
        </w:rPr>
        <w:t xml:space="preserve">{{falecido.nome}}</w:t>
      </w:r>
      <w:r>
        <w:t xml:space="preserve">) e a pré-visualização mostra o resultado; campos desconhecidos são assinalados. As minutas do escritório podem ser editadas ou eliminadas e ficam incluídas nas cópias de segurança. A lista completa dos 35 campos automáticos está no Anexo D.</w:t>
      </w:r>
    </w:p>
    <w:p>
      <w:pPr>
        <w:pStyle w:val="Heading1"/>
        <w:pageBreakBefore/>
      </w:pPr>
      <w:r>
        <w:t xml:space="preserve">12. Produtividade</w:t>
      </w:r>
    </w:p>
    <w:p>
      <w:pPr>
        <w:pStyle w:val="Heading2"/>
      </w:pPr>
      <w:r>
        <w:t xml:space="preserve">12.1 As minhas tarefas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180"/>
          <w:sz w:val="18"/>
          <w:szCs w:val="18"/>
        </w:rPr>
        <w:t xml:space="preserve">Figura 32 — Página «As minhas tarefas» agrupada por urgência.</w:t>
      </w:r>
    </w:p>
    <w:p>
      <w:pPr>
        <w:spacing w:after="120" w:line="276"/>
      </w:pPr>
      <w:r>
        <w:t xml:space="preserve">Diga quem é na equipa (</w:t>
      </w:r>
      <w:r>
        <w:rPr>
          <w:b/>
          <w:bCs/>
        </w:rPr>
        <w:t xml:space="preserve">Definições → Perfil → Na equipa, eu sou</w:t>
      </w:r>
      <w:r>
        <w:t xml:space="preserve">, ou o seletor no topo da página) e a aplicação mostra, em todos os dossiers ativos, as tarefas em aberto atribuídas a si — ou de dossiers de que é responsável, quando a tarefa não tem responsável próprio — agrupadas em </w:t>
      </w:r>
      <w:r>
        <w:rPr>
          <w:b/>
          <w:bCs/>
        </w:rPr>
        <w:t xml:space="preserve">Atrasadas</w:t>
      </w:r>
      <w:r>
        <w:t xml:space="preserve">, </w:t>
      </w:r>
      <w:r>
        <w:rPr>
          <w:b/>
          <w:bCs/>
        </w:rPr>
        <w:t xml:space="preserve">Para hoje</w:t>
      </w:r>
      <w:r>
        <w:t xml:space="preserve">, </w:t>
      </w:r>
      <w:r>
        <w:rPr>
          <w:b/>
          <w:bCs/>
        </w:rPr>
        <w:t xml:space="preserve">Esta semana</w:t>
      </w:r>
      <w:r>
        <w:t xml:space="preserve">, </w:t>
      </w:r>
      <w:r>
        <w:rPr>
          <w:b/>
          <w:bCs/>
        </w:rPr>
        <w:t xml:space="preserve">Próximas</w:t>
      </w:r>
      <w:r>
        <w:t xml:space="preserve"> e </w:t>
      </w:r>
      <w:r>
        <w:rPr>
          <w:b/>
          <w:bCs/>
        </w:rPr>
        <w:t xml:space="preserve">Sem prazo</w:t>
      </w:r>
      <w:r>
        <w:t xml:space="preserve">. O estado muda na própria linha; a barra lateral mostra quantas estão atrasadas ou para hoje.</w:t>
      </w:r>
    </w:p>
    <w:p>
      <w:pPr>
        <w:pStyle w:val="Heading2"/>
      </w:pPr>
      <w:r>
        <w:t xml:space="preserve">12.2 Paleta de comandos, quadros e modelos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Paleta de comandos</w:t>
      </w:r>
      <w:r>
        <w:t xml:space="preserve"> (</w:t>
      </w:r>
      <w:r>
        <w:rPr>
          <w:rFonts w:ascii="Consolas" w:cs="Consolas" w:eastAsia="Consolas" w:hAnsi="Consolas"/>
          <w:color w:val="2D39B9"/>
          <w:sz w:val="19"/>
          <w:szCs w:val="19"/>
        </w:rPr>
        <w:t xml:space="preserve">⌘K</w:t>
      </w:r>
      <w:r>
        <w:t xml:space="preserve">/</w:t>
      </w:r>
      <w:r>
        <w:rPr>
          <w:rFonts w:ascii="Consolas" w:cs="Consolas" w:eastAsia="Consolas" w:hAnsi="Consolas"/>
          <w:color w:val="2D39B9"/>
          <w:sz w:val="19"/>
          <w:szCs w:val="19"/>
        </w:rPr>
        <w:t xml:space="preserve">Ctrl+K</w:t>
      </w:r>
      <w:r>
        <w:t xml:space="preserve">): navegação, dossiers, tarefas, minutas e ações — ver capítulo 3.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Quadro Kanban da checklist</w:t>
      </w:r>
      <w:r>
        <w:t xml:space="preserve"> e </w:t>
      </w:r>
      <w:r>
        <w:rPr>
          <w:b/>
          <w:bCs/>
        </w:rPr>
        <w:t xml:space="preserve">ações em massa</w:t>
      </w:r>
      <w:r>
        <w:t xml:space="preserve"> — ver 6.1.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Quadro de dossiers por fase</w:t>
      </w:r>
      <w:r>
        <w:t xml:space="preserve"> — ver 5.1.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Modelos de dossier</w:t>
      </w:r>
      <w:r>
        <w:t xml:space="preserve"> — ver 5.2.</w:t>
      </w:r>
    </w:p>
    <w:p>
      <w:pPr>
        <w:pStyle w:val="Heading1"/>
        <w:pageBreakBefore/>
      </w:pPr>
      <w:r>
        <w:t xml:space="preserve">13. Segurança e privacidade</w:t>
      </w:r>
    </w:p>
    <w:p>
      <w:pPr>
        <w:pStyle w:val="Heading2"/>
      </w:pPr>
      <w:r>
        <w:t xml:space="preserve">13.1 Bloqueio por PIN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180"/>
          <w:sz w:val="18"/>
          <w:szCs w:val="18"/>
        </w:rPr>
        <w:t xml:space="preserve">Figura 33 — Ecrã de bloqueio.</w:t>
      </w:r>
    </w:p>
    <w:p>
      <w:pPr>
        <w:spacing w:after="120" w:line="276"/>
      </w:pPr>
      <w:r>
        <w:t xml:space="preserve">Em </w:t>
      </w:r>
      <w:r>
        <w:rPr>
          <w:b/>
          <w:bCs/>
        </w:rPr>
        <w:t xml:space="preserve">Definições → Segurança e privacidade → Definir PIN</w:t>
      </w:r>
      <w:r>
        <w:t xml:space="preserve"> escolha 4 a 8 algarismos (PIN óbvios como 1234 ou 0000 são recusados). A partir daí a aplicação abre bloqueada e pode ser bloqueada a pedido (botão na barra lateral, nas Definições ou comando «Bloquear agora» na paleta). Opções: </w:t>
      </w:r>
      <w:r>
        <w:rPr>
          <w:b/>
          <w:bCs/>
        </w:rPr>
        <w:t xml:space="preserve">bloquear automaticamente</w:t>
      </w:r>
      <w:r>
        <w:t xml:space="preserve"> após 1, 5, 15 ou 30 minutos sem interação e </w:t>
      </w:r>
      <w:r>
        <w:rPr>
          <w:b/>
          <w:bCs/>
        </w:rPr>
        <w:t xml:space="preserve">bloquear ao mudar de aplicação ou separador</w:t>
      </w:r>
      <w:r>
        <w:t xml:space="preserve">. Após cinco tentativas falhadas impõe-se uma espera crescente (30 s, 1 min, 2 min… até 10 min).</w:t>
      </w:r>
    </w:p>
    <w:tbl>
      <w:tblPr>
        <w:tblW w:type="dxa" w:w="9638"/>
        <w:tblBorders>
          <w:top w:val="single" w:color="FDECEC" w:sz="4"/>
          <w:left w:val="single" w:color="FDECEC" w:sz="4"/>
          <w:bottom w:val="single" w:color="FDECEC" w:sz="4"/>
          <w:right w:val="single" w:color="FDECEC" w:sz="4"/>
          <w:insideH w:val="single" w:color="FDECEC" w:sz="4"/>
          <w:insideV w:val="single" w:color="FDECEC" w:sz="4"/>
        </w:tblBorders>
      </w:tblPr>
      <w:tblGrid>
        <w:gridCol w:w="9638"/>
      </w:tblGrid>
      <w:tr>
        <w:tc>
          <w:tcPr>
            <w:tcW w:type="dxa" w:w="9638"/>
            <w:shd w:fill="FDECEC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A32D2D"/>
              </w:rPr>
              <w:t xml:space="preserve">Se se esquecer do PIN</w:t>
            </w:r>
          </w:p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O PIN é guardado apenas como resumo criptográfico (PBKDF2 com sal) — não há forma de o recuperar. A única alternativa é apagar os dados do navegador e repor uma cópia de segurança. Guarde o PIN em local seguro.</w:t>
            </w:r>
          </w:p>
        </w:tc>
      </w:tr>
    </w:tbl>
    <w:p>
      <w:pPr>
        <w:spacing w:after="120" w:line="276"/>
      </w:pPr>
      <w:r>
        <w:t xml:space="preserve">O PIN protege contra acessos casuais neste dispositivo; não cifra a base de dados local. Para proteger os dados em repouso use a encriptação do sistema (FileVault, BitLocker), sessões pessoais e cópias de segurança cifradas.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180"/>
          <w:sz w:val="18"/>
          <w:szCs w:val="18"/>
        </w:rPr>
        <w:t xml:space="preserve">Figura 34 — Cartão «Segurança e privacidade» nas Definições.</w:t>
      </w:r>
    </w:p>
    <w:p>
      <w:pPr>
        <w:pStyle w:val="Heading2"/>
      </w:pPr>
      <w:r>
        <w:t xml:space="preserve">13.2 Cópias de segurança cifradas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180"/>
          <w:sz w:val="18"/>
          <w:szCs w:val="18"/>
        </w:rPr>
        <w:t xml:space="preserve">Figura 35 — Exportação com palavra-passe.</w:t>
      </w:r>
    </w:p>
    <w:p>
      <w:pPr>
        <w:spacing w:after="120" w:line="276"/>
      </w:pPr>
      <w:r>
        <w:t xml:space="preserve">Ao exportar, marque </w:t>
      </w:r>
      <w:r>
        <w:rPr>
          <w:b/>
          <w:bCs/>
        </w:rPr>
        <w:t xml:space="preserve">Cifrar com palavra-passe</w:t>
      </w:r>
      <w:r>
        <w:t xml:space="preserve"> (recomendado): o ficheiro é cifrado com AES-256-GCM e uma chave derivada da palavra-passe (PBKDF2, 250 000 iterações); pode juntar uma </w:t>
      </w:r>
      <w:r>
        <w:rPr>
          <w:b/>
          <w:bCs/>
        </w:rPr>
        <w:t xml:space="preserve">pista</w:t>
      </w:r>
      <w:r>
        <w:t xml:space="preserve"> (guardada em claro — nunca a palavra-passe). Sem a palavra-passe ninguém consegue ler a cópia — nem o escritório, nem nós. Ao importar, a aplicação reconhece o ficheiro cifrado e pede a palavra-passe. As Definições mostram a data da última cópia e a aplicação lembra semanalmente quando há dossiers reais e a última cópia tem mais de sete dias.</w:t>
      </w:r>
    </w:p>
    <w:p>
      <w:pPr>
        <w:pStyle w:val="Heading2"/>
      </w:pPr>
      <w:r>
        <w:t xml:space="preserve">13.3 Modo privacidade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180"/>
          <w:sz w:val="18"/>
          <w:szCs w:val="18"/>
        </w:rPr>
        <w:t xml:space="preserve">Figura 36 — Modo privacidade: nomes desfocados na lista de dossiers.</w:t>
      </w:r>
    </w:p>
    <w:p>
      <w:pPr>
        <w:spacing w:after="120" w:line="276"/>
      </w:pPr>
      <w:r>
        <w:t xml:space="preserve">Para partilhar o ecrã numa reunião ou trabalhar num local público, ligue o </w:t>
      </w:r>
      <w:r>
        <w:rPr>
          <w:b/>
          <w:bCs/>
        </w:rPr>
        <w:t xml:space="preserve">modo privacidade</w:t>
      </w:r>
      <w:r>
        <w:t xml:space="preserve"> (ícone do olho na barra lateral, Definições ou paleta). Os nomes de dossiers, falecidos, clientes e interessados ficam desfocados nas listas, no painel, na agenda, nas minhas tarefas, na pesquisa, na paleta e nos documentos gerados (passe o rato sobre um documento para o ler). Desligue quando terminar.</w:t>
      </w:r>
    </w:p>
    <w:p>
      <w:pPr>
        <w:pStyle w:val="Heading2"/>
      </w:pPr>
      <w:r>
        <w:t xml:space="preserve">13.4 Importar do protótipo original</w:t>
      </w:r>
    </w:p>
    <w:p>
      <w:pPr>
        <w:spacing w:after="120" w:line="276"/>
      </w:pPr>
      <w:r>
        <w:t xml:space="preserve">Em </w:t>
      </w:r>
      <w:r>
        <w:rPr>
          <w:b/>
          <w:bCs/>
        </w:rPr>
        <w:t xml:space="preserve">Definições → Dados e privacidade → Importar do protótipo</w:t>
      </w:r>
      <w:r>
        <w:t xml:space="preserve"> cole o JSON extraído do protótipo em HTML (a aplicação mostra o comando a executar na consola do navegador onde o protótipo foi usado). São convertidos os dossiers, as respostas, os estados das tarefas (por semelhança de títulos; as não reconhecidas passam a tarefas próprias), os interessados, os bens, o responsável, o cliente, as notas e os contactos. Os dossiers importados recebem a etiqueta «Importado».</w:t>
      </w:r>
    </w:p>
    <w:p>
      <w:pPr>
        <w:pStyle w:val="Heading2"/>
      </w:pPr>
      <w:r>
        <w:t xml:space="preserve">13.5 Outras proteções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Content Security Policy sem scripts inline e sem ligações a terceiros; política de referência «no-referrer».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Nada é enviado para servidores; a aplicação não tem contas nem telemetria.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Eliminação em cascata (dossier → tarefas, interessados, bens, documentos e anexos) e «Apagar todos os dados» com confirmação.</w:t>
      </w:r>
    </w:p>
    <w:p>
      <w:pPr>
        <w:pStyle w:val="Heading1"/>
        <w:pageBreakBefore/>
      </w:pPr>
      <w:r>
        <w:t xml:space="preserve">14. Definições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3438525" cy="685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525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180"/>
          <w:sz w:val="18"/>
          <w:szCs w:val="18"/>
        </w:rPr>
        <w:t xml:space="preserve">Figura 37 — Página «Definições» (página inteira).</w:t>
      </w:r>
    </w:p>
    <w:tbl>
      <w:tblPr>
        <w:tblW w:type="dxa" w:w="9638"/>
        <w:tblBorders>
          <w:top w:val="single" w:color="D9DCE8" w:sz="4"/>
          <w:left w:val="single" w:color="D9DCE8" w:sz="4"/>
          <w:bottom w:val="single" w:color="D9DCE8" w:sz="4"/>
          <w:right w:val="single" w:color="D9DCE8" w:sz="4"/>
          <w:insideH w:val="single" w:color="D9DCE8" w:sz="4"/>
          <w:insideV w:val="single" w:color="D9DCE8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shd w:fill="EEF0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2D39B9"/>
                <w:sz w:val="19"/>
                <w:szCs w:val="19"/>
              </w:rPr>
              <w:t xml:space="preserve">Secção</w:t>
            </w:r>
          </w:p>
        </w:tc>
        <w:tc>
          <w:tcPr>
            <w:tcW w:type="dxa" w:w="7038"/>
            <w:shd w:fill="EEF0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2D39B9"/>
                <w:sz w:val="19"/>
                <w:szCs w:val="19"/>
              </w:rPr>
              <w:t xml:space="preserve">Opções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Perfil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O seu nome (saudação e histórico), nome do escritório, lema (mostrado na barra lateral e nos documentos) e </w:t>
            </w:r>
            <w:r>
              <w:rPr>
                <w:b/>
                <w:bCs/>
                <w:sz w:val="20"/>
                <w:szCs w:val="20"/>
              </w:rPr>
              <w:t xml:space="preserve">Na equipa, eu sou</w:t>
            </w:r>
            <w:r>
              <w:rPr>
                <w:sz w:val="20"/>
                <w:szCs w:val="20"/>
              </w:rPr>
              <w:t xml:space="preserve"> (para «As minhas tarefas»).</w:t>
            </w:r>
          </w:p>
        </w:tc>
      </w:tr>
      <w:tr>
        <w:trPr>
          <w:cantSplit/>
        </w:trPr>
        <w:tc>
          <w:tcPr>
            <w:tcW w:type="dxa" w:w="26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Escritório</w:t>
            </w:r>
          </w:p>
        </w:tc>
        <w:tc>
          <w:tcPr>
            <w:tcW w:type="dxa" w:w="7038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Localidade, morada, email e telefone — usados no cabeçalho das cartas e minutas.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Equipa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Pessoas que podem ser responsáveis por dossiers e tarefas (nome, função, cor do avatar). Remover uma pessoa não apaga os dossiers.</w:t>
            </w:r>
          </w:p>
        </w:tc>
      </w:tr>
      <w:tr>
        <w:trPr>
          <w:cantSplit/>
        </w:trPr>
        <w:tc>
          <w:tcPr>
            <w:tcW w:type="dxa" w:w="26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Segurança e privacidade</w:t>
            </w:r>
          </w:p>
        </w:tc>
        <w:tc>
          <w:tcPr>
            <w:tcW w:type="dxa" w:w="7038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Definir/alterar/remover PIN, bloquear agora, bloqueio automático, bloquear ao mudar de aplicação, modo privacidade.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Modelos de dossier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Lista dos modelos guardados a partir de dossiers, com remoção.</w:t>
            </w:r>
          </w:p>
        </w:tc>
      </w:tr>
      <w:tr>
        <w:trPr>
          <w:cantSplit/>
        </w:trPr>
        <w:tc>
          <w:tcPr>
            <w:tcW w:type="dxa" w:w="26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Aparência</w:t>
            </w:r>
          </w:p>
        </w:tc>
        <w:tc>
          <w:tcPr>
            <w:tcW w:type="dxa" w:w="7038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Tema </w:t>
            </w:r>
            <w:r>
              <w:rPr>
                <w:b/>
                <w:bCs/>
                <w:sz w:val="20"/>
                <w:szCs w:val="20"/>
              </w:rPr>
              <w:t xml:space="preserve">Sistema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b/>
                <w:bCs/>
                <w:sz w:val="20"/>
                <w:szCs w:val="20"/>
              </w:rPr>
              <w:t xml:space="preserve">Claro</w:t>
            </w:r>
            <w:r>
              <w:rPr>
                <w:sz w:val="20"/>
                <w:szCs w:val="20"/>
              </w:rPr>
              <w:t xml:space="preserve"> ou </w:t>
            </w:r>
            <w:r>
              <w:rPr>
                <w:b/>
                <w:bCs/>
                <w:sz w:val="20"/>
                <w:szCs w:val="20"/>
              </w:rPr>
              <w:t xml:space="preserve">Escuro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Agenda e lembretes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Feriado municipal, mostrar férias judiciais, notificações do sistema (ativar/testar) e contador no ícone da aplicação.</w:t>
            </w:r>
          </w:p>
        </w:tc>
      </w:tr>
      <w:tr>
        <w:trPr>
          <w:cantSplit/>
        </w:trPr>
        <w:tc>
          <w:tcPr>
            <w:tcW w:type="dxa" w:w="26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Aplicação</w:t>
            </w:r>
          </w:p>
        </w:tc>
        <w:tc>
          <w:tcPr>
            <w:tcW w:type="dxa" w:w="7038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Instalar a aplicação; estado da instalação e da ligação.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Dados e privacidade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Armazenamento persistente, </w:t>
            </w:r>
            <w:r>
              <w:rPr>
                <w:b/>
                <w:bCs/>
                <w:sz w:val="20"/>
                <w:szCs w:val="20"/>
              </w:rPr>
              <w:t xml:space="preserve">Exportar cópia de segurança</w:t>
            </w:r>
            <w:r>
              <w:rPr>
                <w:sz w:val="20"/>
                <w:szCs w:val="20"/>
              </w:rPr>
              <w:t xml:space="preserve"> (com ou sem anexos, cifrada ou não), </w:t>
            </w:r>
            <w:r>
              <w:rPr>
                <w:b/>
                <w:bCs/>
                <w:sz w:val="20"/>
                <w:szCs w:val="20"/>
              </w:rPr>
              <w:t xml:space="preserve">Importar cópia</w:t>
            </w:r>
            <w:r>
              <w:rPr>
                <w:sz w:val="20"/>
                <w:szCs w:val="20"/>
              </w:rPr>
              <w:t xml:space="preserve"> (substituir tudo ou juntar; pede a palavra-passe se estiver cifrada), </w:t>
            </w:r>
            <w:r>
              <w:rPr>
                <w:b/>
                <w:bCs/>
                <w:sz w:val="20"/>
                <w:szCs w:val="20"/>
              </w:rPr>
              <w:t xml:space="preserve">Importar do protótipo</w:t>
            </w:r>
            <w:r>
              <w:rPr>
                <w:sz w:val="20"/>
                <w:szCs w:val="20"/>
              </w:rPr>
              <w:t xml:space="preserve">, data da última cópia, tamanho ocupado, </w:t>
            </w:r>
            <w:r>
              <w:rPr>
                <w:b/>
                <w:bCs/>
                <w:sz w:val="20"/>
                <w:szCs w:val="20"/>
              </w:rPr>
              <w:t xml:space="preserve">Carregar/Remover dados de demonstração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b/>
                <w:bCs/>
                <w:sz w:val="20"/>
                <w:szCs w:val="20"/>
              </w:rPr>
              <w:t xml:space="preserve">Apagar todos os dados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6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Sobre</w:t>
            </w:r>
          </w:p>
        </w:tc>
        <w:tc>
          <w:tcPr>
            <w:tcW w:type="dxa" w:w="7038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Versão da aplicação e data de compilação.</w:t>
            </w:r>
          </w:p>
        </w:tc>
      </w:tr>
    </w:tbl>
    <w:p>
      <w:pPr>
        <w:pStyle w:val="Heading2"/>
      </w:pPr>
      <w:r>
        <w:t xml:space="preserve">14.1 Cópias de segurança</w:t>
      </w:r>
    </w:p>
    <w:p>
      <w:pPr>
        <w:spacing w:after="120" w:line="276"/>
      </w:pPr>
      <w:r>
        <w:t xml:space="preserve">Como os dados ficam apenas no dispositivo, a cópia de segurança é a </w:t>
      </w:r>
      <w:r>
        <w:rPr>
          <w:b/>
          <w:bCs/>
        </w:rPr>
        <w:t xml:space="preserve">única forma de os proteger e de os transferir</w:t>
      </w:r>
      <w:r>
        <w:t xml:space="preserve"> para outro computador ou colega.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rPr>
          <w:b/>
          <w:bCs/>
        </w:rPr>
        <w:t xml:space="preserve">Definições → Dados e privacidade → Exportar cópia de segurança.</w:t>
      </w:r>
      <w:r>
        <w:t xml:space="preserve"> Marque </w:t>
      </w:r>
      <w:r>
        <w:rPr>
          <w:b/>
          <w:bCs/>
        </w:rPr>
        <w:t xml:space="preserve">Incluir anexos</w:t>
      </w:r>
      <w:r>
        <w:t xml:space="preserve"> se quiser levar também os ficheiros anexados (o ficheiro fica maior) e </w:t>
      </w:r>
      <w:r>
        <w:rPr>
          <w:b/>
          <w:bCs/>
        </w:rPr>
        <w:t xml:space="preserve">Cifrar com palavra-passe</w:t>
      </w:r>
      <w:r>
        <w:t xml:space="preserve"> para proteger o ficheiro.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t xml:space="preserve">Guarde o ficheiro </w:t>
      </w:r>
      <w:r>
        <w:rPr>
          <w:rFonts w:ascii="Consolas" w:cs="Consolas" w:eastAsia="Consolas" w:hAnsi="Consolas"/>
          <w:color w:val="2D39B9"/>
          <w:sz w:val="19"/>
          <w:szCs w:val="19"/>
        </w:rPr>
        <w:t xml:space="preserve">.json</w:t>
      </w:r>
      <w:r>
        <w:t xml:space="preserve"> num local seguro do escritório (por exemplo, a pasta de rede do processo ou um cofre de ficheiros).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t xml:space="preserve">Para restaurar noutro dispositivo: </w:t>
      </w:r>
      <w:r>
        <w:rPr>
          <w:b/>
          <w:bCs/>
        </w:rPr>
        <w:t xml:space="preserve">Importar cópia</w:t>
      </w:r>
      <w:r>
        <w:t xml:space="preserve"> → escolha </w:t>
      </w:r>
      <w:r>
        <w:rPr>
          <w:b/>
          <w:bCs/>
        </w:rPr>
        <w:t xml:space="preserve">Substituir tudo</w:t>
      </w:r>
      <w:r>
        <w:t xml:space="preserve"> (troca os dados atuais pela cópia) ou </w:t>
      </w:r>
      <w:r>
        <w:rPr>
          <w:b/>
          <w:bCs/>
        </w:rPr>
        <w:t xml:space="preserve">Cancelar</w:t>
      </w:r>
      <w:r>
        <w:t xml:space="preserve"> para </w:t>
      </w:r>
      <w:r>
        <w:rPr>
          <w:b/>
          <w:bCs/>
        </w:rPr>
        <w:t xml:space="preserve">juntar</w:t>
      </w:r>
      <w:r>
        <w:t xml:space="preserve"> (mantém os dossiers existentes e acrescenta os da cópia).</w:t>
      </w:r>
    </w:p>
    <w:tbl>
      <w:tblPr>
        <w:tblW w:type="dxa" w:w="9638"/>
        <w:tblBorders>
          <w:top w:val="single" w:color="FDECEC" w:sz="4"/>
          <w:left w:val="single" w:color="FDECEC" w:sz="4"/>
          <w:bottom w:val="single" w:color="FDECEC" w:sz="4"/>
          <w:right w:val="single" w:color="FDECEC" w:sz="4"/>
          <w:insideH w:val="single" w:color="FDECEC" w:sz="4"/>
          <w:insideV w:val="single" w:color="FDECEC" w:sz="4"/>
        </w:tblBorders>
      </w:tblPr>
      <w:tblGrid>
        <w:gridCol w:w="9638"/>
      </w:tblGrid>
      <w:tr>
        <w:tc>
          <w:tcPr>
            <w:tcW w:type="dxa" w:w="9638"/>
            <w:shd w:fill="FDECEC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A32D2D"/>
              </w:rPr>
              <w:t xml:space="preserve">Atenção</w:t>
            </w:r>
          </w:p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Limpar os dados de navegação do navegador (ou desinstalar a aplicação em alguns sistemas) </w:t>
            </w:r>
            <w:r>
              <w:rPr>
                <w:b/>
                <w:bCs/>
                <w:sz w:val="20"/>
                <w:szCs w:val="20"/>
              </w:rPr>
              <w:t xml:space="preserve">apaga os dossiers</w:t>
            </w:r>
            <w:r>
              <w:rPr>
                <w:sz w:val="20"/>
                <w:szCs w:val="20"/>
              </w:rPr>
              <w:t xml:space="preserve">. Faça cópias regulares — a aplicação recorda-o quando a última cópia tem mais de sete dias.</w:t>
            </w:r>
          </w:p>
        </w:tc>
      </w:tr>
    </w:tbl>
    <w:p>
      <w:pPr>
        <w:pStyle w:val="Heading1"/>
        <w:pageBreakBefore/>
      </w:pPr>
      <w:r>
        <w:t xml:space="preserve">15. Trabalhar sem internet e atualizar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Depois da primeira visita, a aplicação abre e funciona </w:t>
      </w:r>
      <w:r>
        <w:rPr>
          <w:b/>
          <w:bCs/>
        </w:rPr>
        <w:t xml:space="preserve">sem ligação</w:t>
      </w:r>
      <w:r>
        <w:t xml:space="preserve">: todas as operações (criar dossiers, mudar estados, anexar ficheiros, gerar minutas) são locais.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Quando existe uma nova versão publicada, aparece o aviso </w:t>
      </w:r>
      <w:r>
        <w:rPr>
          <w:b/>
          <w:bCs/>
        </w:rPr>
        <w:t xml:space="preserve">«Nova versão disponível»</w:t>
      </w:r>
      <w:r>
        <w:t xml:space="preserve"> com o botão </w:t>
      </w:r>
      <w:r>
        <w:rPr>
          <w:b/>
          <w:bCs/>
        </w:rPr>
        <w:t xml:space="preserve">Atualizar</w:t>
      </w:r>
      <w:r>
        <w:t xml:space="preserve">. Escolhe quando atualizar — nunca a meio de uma tarefa.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Se algo correr mal, o ecrã de recuperação oferece </w:t>
      </w:r>
      <w:r>
        <w:rPr>
          <w:b/>
          <w:bCs/>
        </w:rPr>
        <w:t xml:space="preserve">Recarregar com a versão mais recente</w:t>
      </w:r>
      <w:r>
        <w:t xml:space="preserve">, que limpa a versão em cache e recarrega a aplicação sem tocar nos dados.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 publicação é automática: cada nova versão passa pelos testes e pela compilação antes de ficar disponível.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2857500" cy="1790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79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2857500" cy="1790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79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60"/>
        <w:jc w:val="center"/>
      </w:pPr>
      <w:r>
        <w:rPr>
          <w:i/>
          <w:iCs/>
          <w:color w:val="5B6180"/>
          <w:sz w:val="18"/>
          <w:szCs w:val="18"/>
        </w:rPr>
        <w:t xml:space="preserve">Figura 38 — Tema escuro: painel e quotas.</w:t>
      </w:r>
    </w:p>
    <w:p>
      <w:pPr>
        <w:pStyle w:val="Heading1"/>
        <w:pageBreakBefore/>
      </w:pPr>
      <w:r>
        <w:t xml:space="preserve">16. No telemóvel e no tablet</w:t>
      </w:r>
    </w:p>
    <w:p>
      <w:pPr>
        <w:spacing w:after="120" w:line="276"/>
      </w:pPr>
      <w:r>
        <w:t xml:space="preserve">A aplicação adapta-se ao ecrã: no telemóvel a barra inferior dá acesso ao painel, dossiers, nova sucessão, agenda e bloqueios; as tabelas passam a cartões e as gavetas ocupam o ecrã inteiro. Todas as funcionalidades estão disponíveis.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428750" cy="3095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095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428750" cy="3095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095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428750" cy="3095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095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428750" cy="3095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095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60"/>
        <w:jc w:val="center"/>
      </w:pPr>
      <w:r>
        <w:rPr>
          <w:i/>
          <w:iCs/>
          <w:color w:val="5B6180"/>
          <w:sz w:val="18"/>
          <w:szCs w:val="18"/>
        </w:rPr>
        <w:t xml:space="preserve">Figura 39 — Painel, dossier, agenda e quadro da checklist no telemóvel.</w:t>
      </w:r>
    </w:p>
    <w:p>
      <w:pPr>
        <w:pStyle w:val="Heading1"/>
        <w:pageBreakBefore/>
      </w:pPr>
      <w:r>
        <w:t xml:space="preserve">17. Onde ficam os dados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Onde ficam os dados</w:t>
      </w:r>
      <w:r>
        <w:t xml:space="preserve">: no navegador do dispositivo (IndexedDB), incluindo os anexos. Não há servidores, contas nem sincronização automática entre dispositivos.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Quem vê os dados</w:t>
      </w:r>
      <w:r>
        <w:t xml:space="preserve">: quem tiver acesso ao perfil do navegador nesse dispositivo. Use sessões pessoais, bloqueio automático do dispositivo e não partilhe o perfil do navegador.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Transferir ou partilhar um dossier</w:t>
      </w:r>
      <w:r>
        <w:t xml:space="preserve">: exporte uma cópia de segurança e importe-a no outro dispositivo (modo «juntar»).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Dados pessoais de terceiros</w:t>
      </w:r>
      <w:r>
        <w:t xml:space="preserve"> (herdeiros, credores): o tratamento é da responsabilidade do escritório, nos termos do RGPD. A aplicação ajuda com a localização exclusiva dos dados, a eliminação em cascata e a exportação/eliminação totais.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Dados fictícios</w:t>
      </w:r>
      <w:r>
        <w:t xml:space="preserve">: os dossiers de demonstração são inteiramente inventados e assinalados com a etiqueta «Demonstração».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Proteções disponíveis</w:t>
      </w:r>
      <w:r>
        <w:t xml:space="preserve"> (capítulo 13): bloqueio por PIN, cópias cifradas e modo privacidade.</w:t>
      </w:r>
    </w:p>
    <w:p>
      <w:pPr>
        <w:pStyle w:val="Heading1"/>
        <w:pageBreakBefore/>
      </w:pPr>
      <w:r>
        <w:t xml:space="preserve">19. Calculadora de prazos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180"/>
          <w:sz w:val="18"/>
          <w:szCs w:val="18"/>
        </w:rPr>
        <w:t xml:space="preserve">Figura 40 — Calculadora de prazos: prazo judicial de 30 dias iniciado em julho, suspenso nas férias judiciais.</w:t>
      </w:r>
    </w:p>
    <w:p>
      <w:pPr>
        <w:spacing w:after="120" w:line="276"/>
      </w:pPr>
      <w:r>
        <w:t xml:space="preserve">Em </w:t>
      </w:r>
      <w:r>
        <w:rPr>
          <w:b/>
          <w:bCs/>
        </w:rPr>
        <w:t xml:space="preserve">Ferramentas → Calculadora de prazos</w:t>
      </w:r>
      <w:r>
        <w:t xml:space="preserve"> conte prazos em dias corridos, dias úteis, meses ou anos a partir de uma data (citação, notificação, óbito…). Aplicam-se as regras gerais: o dia do facto não conta (Código Civil, art. 279.º, al. b); nos prazos em meses ou anos o termo cai no dia correspondente ou no último dia do mês (al. c); se o termo cair em dia não útil transfere-se para o 1.º dia útil seguinte (al. e; Código de Processo Civil, art. 138.º, n.º 2); os </w:t>
      </w:r>
      <w:r>
        <w:rPr>
          <w:b/>
          <w:bCs/>
        </w:rPr>
        <w:t xml:space="preserve">prazos judiciais</w:t>
      </w:r>
      <w:r>
        <w:t xml:space="preserve"> suspendem-se nas férias judiciais (CPC, art. 138.º, n.º 1).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O resultado mostra o termo, a explicação passo a passo, os períodos suspensos e a base legal; a lista </w:t>
      </w:r>
      <w:r>
        <w:rPr>
          <w:b/>
          <w:bCs/>
        </w:rPr>
        <w:t xml:space="preserve">Prazos frequentes</w:t>
      </w:r>
      <w:r>
        <w:t xml:space="preserve"> (contestação, apelação, reclamação de créditos, aceitação/repúdio, reclamação graciosa…) é um ponto de partida a validar.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Agendar este prazo</w:t>
      </w:r>
      <w:r>
        <w:t xml:space="preserve"> cria um evento «Prazo» na agenda, opcionalmente ligado a um dossier.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Na </w:t>
      </w:r>
      <w:r>
        <w:rPr>
          <w:b/>
          <w:bCs/>
        </w:rPr>
        <w:t xml:space="preserve">gaveta de uma tarefa</w:t>
      </w:r>
      <w:r>
        <w:t xml:space="preserve">, o botão </w:t>
      </w:r>
      <w:r>
        <w:rPr>
          <w:b/>
          <w:bCs/>
        </w:rPr>
        <w:t xml:space="preserve">Calcular…</w:t>
      </w:r>
      <w:r>
        <w:t xml:space="preserve"> ao lado do prazo pré-preenche a data do óbito e grava o resultado como prazo da tarefa, com a regra registada no histórico.</w:t>
      </w:r>
    </w:p>
    <w:tbl>
      <w:tblPr>
        <w:tblW w:type="dxa" w:w="9638"/>
        <w:tblBorders>
          <w:top w:val="single" w:color="FFF6E5" w:sz="4"/>
          <w:left w:val="single" w:color="FFF6E5" w:sz="4"/>
          <w:bottom w:val="single" w:color="FFF6E5" w:sz="4"/>
          <w:right w:val="single" w:color="FFF6E5" w:sz="4"/>
          <w:insideH w:val="single" w:color="FFF6E5" w:sz="4"/>
          <w:insideV w:val="single" w:color="FFF6E5" w:sz="4"/>
        </w:tblBorders>
      </w:tblPr>
      <w:tblGrid>
        <w:gridCol w:w="9638"/>
      </w:tblGrid>
      <w:tr>
        <w:tc>
          <w:tcPr>
            <w:tcW w:type="dxa" w:w="9638"/>
            <w:shd w:fill="FFF6E5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8A5A00"/>
              </w:rPr>
              <w:t xml:space="preserve">Regras gerais</w:t>
            </w:r>
          </w:p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 calculadora aplica as regras gerais do Código Civil e do Código de Processo Civil. Confirme sempre o regime especial do prazo em causa (prazos administrativos, fiscais, de registo).</w:t>
            </w:r>
          </w:p>
        </w:tc>
      </w:tr>
    </w:tbl>
    <w:p>
      <w:pPr>
        <w:pStyle w:val="Heading1"/>
        <w:pageBreakBefore/>
      </w:pPr>
      <w:r>
        <w:t xml:space="preserve">20. Partilhar dossiers entre colegas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180"/>
          <w:sz w:val="18"/>
          <w:szCs w:val="18"/>
        </w:rPr>
        <w:t xml:space="preserve">Figura 41 — Folha «Partilhar dossier com um colega».</w:t>
      </w:r>
    </w:p>
    <w:p>
      <w:pPr>
        <w:spacing w:after="120" w:line="276"/>
      </w:pPr>
      <w:r>
        <w:t xml:space="preserve">No dossier, menu </w:t>
      </w:r>
      <w:r>
        <w:rPr>
          <w:b/>
          <w:bCs/>
        </w:rPr>
        <w:t xml:space="preserve">⋯ → Partilhar com colega…</w:t>
      </w:r>
      <w:r>
        <w:t xml:space="preserve"> gera um ficheiro </w:t>
      </w:r>
      <w:r>
        <w:rPr>
          <w:rFonts w:ascii="Consolas" w:cs="Consolas" w:eastAsia="Consolas" w:hAnsi="Consolas"/>
          <w:color w:val="2D39B9"/>
          <w:sz w:val="19"/>
          <w:szCs w:val="19"/>
        </w:rPr>
        <w:t xml:space="preserve">dossier-&lt;referência&gt;-&lt;data&gt;.json</w:t>
      </w:r>
      <w:r>
        <w:t xml:space="preserve"> com o dossier completo — ficha e questionário, checklist, interessados, património, documentos e anexos, agenda, notas, contactos e histórico — e os membros da equipa referenciados. Por omissão o ficheiro é </w:t>
      </w:r>
      <w:r>
        <w:rPr>
          <w:b/>
          <w:bCs/>
        </w:rPr>
        <w:t xml:space="preserve">cifrado</w:t>
      </w:r>
      <w:r>
        <w:t xml:space="preserve"> (AES-256-GCM) com uma palavra-passe que combina com o colega por outro canal; pode juntar uma pista.</w:t>
      </w:r>
    </w:p>
    <w:p>
      <w:pPr>
        <w:pStyle w:val="Heading2"/>
      </w:pPr>
      <w:r>
        <w:t xml:space="preserve">20.1 Importar e juntar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180"/>
          <w:sz w:val="18"/>
          <w:szCs w:val="18"/>
        </w:rPr>
        <w:t xml:space="preserve">Figura 42 — Importação com pré-visualização dos conflitos e regras de junção.</w:t>
      </w:r>
    </w:p>
    <w:p>
      <w:pPr>
        <w:spacing w:after="120" w:line="276"/>
      </w:pPr>
      <w:r>
        <w:t xml:space="preserve">Em </w:t>
      </w:r>
      <w:r>
        <w:rPr>
          <w:b/>
          <w:bCs/>
        </w:rPr>
        <w:t xml:space="preserve">Dossiers → Importar dossier</w:t>
      </w:r>
      <w:r>
        <w:t xml:space="preserve"> escolha o ficheiro (ou cole o conteúdo). A aplicação mostra quem exportou e quando, se o dossier já existe neste dispositivo e, tabela a tabela, quantos registos são </w:t>
      </w:r>
      <w:r>
        <w:rPr>
          <w:b/>
          <w:bCs/>
        </w:rPr>
        <w:t xml:space="preserve">novos</w:t>
      </w:r>
      <w:r>
        <w:t xml:space="preserve">, </w:t>
      </w:r>
      <w:r>
        <w:rPr>
          <w:b/>
          <w:bCs/>
        </w:rPr>
        <w:t xml:space="preserve">atualizados</w:t>
      </w:r>
      <w:r>
        <w:t xml:space="preserve">, </w:t>
      </w:r>
      <w:r>
        <w:rPr>
          <w:b/>
          <w:bCs/>
        </w:rPr>
        <w:t xml:space="preserve">mantidos</w:t>
      </w:r>
      <w:r>
        <w:t xml:space="preserve"> ou </w:t>
      </w:r>
      <w:r>
        <w:rPr>
          <w:b/>
          <w:bCs/>
        </w:rPr>
        <w:t xml:space="preserve">iguais</w:t>
      </w:r>
      <w:r>
        <w:t xml:space="preserve">. Se o dossier já existir, escolha a regra: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Manter o mais recente</w:t>
      </w:r>
      <w:r>
        <w:t xml:space="preserve"> (recomendada): em cada registo ganha a versão alterada mais recentemente.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Preferir o ficheiro</w:t>
      </w:r>
      <w:r>
        <w:t xml:space="preserve">: as versões do ficheiro substituem as deste dispositivo quando diferem.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Preferir este dispositivo</w:t>
      </w:r>
      <w:r>
        <w:t xml:space="preserve">: só acrescenta o que falta.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Importar como novo dossier</w:t>
      </w:r>
      <w:r>
        <w:t xml:space="preserve">: cria um dossier separado com nova referência, sem tocar no existente.</w:t>
      </w:r>
    </w:p>
    <w:tbl>
      <w:tblPr>
        <w:tblW w:type="dxa" w:w="9638"/>
        <w:tblBorders>
          <w:top w:val="single" w:color="EEF0FB" w:sz="4"/>
          <w:left w:val="single" w:color="EEF0FB" w:sz="4"/>
          <w:bottom w:val="single" w:color="EEF0FB" w:sz="4"/>
          <w:right w:val="single" w:color="EEF0FB" w:sz="4"/>
          <w:insideH w:val="single" w:color="EEF0FB" w:sz="4"/>
          <w:insideV w:val="single" w:color="EEF0FB" w:sz="4"/>
        </w:tblBorders>
      </w:tblPr>
      <w:tblGrid>
        <w:gridCol w:w="9638"/>
      </w:tblGrid>
      <w:tr>
        <w:tc>
          <w:tcPr>
            <w:tcW w:type="dxa" w:w="9638"/>
            <w:shd w:fill="EEF0FB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2D39B9"/>
              </w:rPr>
              <w:t xml:space="preserve">Nada é apagado</w:t>
            </w:r>
          </w:p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Ao juntar, o que só existe neste dispositivo mantém-se; o histórico é só de acréscimo; anexos em falta são assinalados. A importação fica registada no histórico do dossier («Dossier importado de…» / «Dossier juntado com a versão de…»).</w:t>
            </w:r>
          </w:p>
        </w:tc>
      </w:tr>
    </w:tbl>
    <w:p>
      <w:pPr>
        <w:pStyle w:val="Heading1"/>
        <w:pageBreakBefore/>
      </w:pPr>
      <w:r>
        <w:t xml:space="preserve">21. Cópias automáticas para uma pasta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180"/>
          <w:sz w:val="18"/>
          <w:szCs w:val="18"/>
        </w:rPr>
        <w:t xml:space="preserve">Figura 43 — Cartão «Cópias automáticas» nas Definições.</w:t>
      </w:r>
    </w:p>
    <w:p>
      <w:pPr>
        <w:spacing w:after="120" w:line="276"/>
      </w:pPr>
      <w:r>
        <w:t xml:space="preserve">Em </w:t>
      </w:r>
      <w:r>
        <w:rPr>
          <w:b/>
          <w:bCs/>
        </w:rPr>
        <w:t xml:space="preserve">Definições → Cópias automáticas</w:t>
      </w:r>
      <w:r>
        <w:t xml:space="preserve"> (Chrome ou Edge, em computador) escolha uma pasta do dispositivo e uma palavra-passe: a aplicação passa a guardar aí cópias </w:t>
      </w:r>
      <w:r>
        <w:rPr>
          <w:b/>
          <w:bCs/>
        </w:rPr>
        <w:t xml:space="preserve">sempre cifradas</w:t>
      </w:r>
      <w:r>
        <w:t xml:space="preserve"> — </w:t>
      </w:r>
      <w:r>
        <w:rPr>
          <w:rFonts w:ascii="Consolas" w:cs="Consolas" w:eastAsia="Consolas" w:hAnsi="Consolas"/>
          <w:color w:val="2D39B9"/>
          <w:sz w:val="19"/>
          <w:szCs w:val="19"/>
        </w:rPr>
        <w:t xml:space="preserve">balcao-sucessoes-auto-&lt;data&gt;-&lt;hora&gt;.cifrada.json</w:t>
      </w:r>
      <w:r>
        <w:t xml:space="preserve"> — com um </w:t>
      </w:r>
      <w:r>
        <w:rPr>
          <w:rFonts w:ascii="Consolas" w:cs="Consolas" w:eastAsia="Consolas" w:hAnsi="Consolas"/>
          <w:color w:val="2D39B9"/>
          <w:sz w:val="19"/>
          <w:szCs w:val="19"/>
        </w:rPr>
        <w:t xml:space="preserve">LEIA-ME.txt</w:t>
      </w:r>
      <w:r>
        <w:t xml:space="preserve"> e </w:t>
      </w:r>
      <w:r>
        <w:rPr>
          <w:b/>
          <w:bCs/>
        </w:rPr>
        <w:t xml:space="preserve">rotação</w:t>
      </w:r>
      <w:r>
        <w:t xml:space="preserve"> (mantém as últimas 5, 10, 20 ou 50). Se a pasta for sincronizada (OneDrive, SharePoint, Google Drive, NAS), o escritório fica com um repositório central de cópias sem servidor próprio.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Frequência</w:t>
      </w:r>
      <w:r>
        <w:t xml:space="preserve">: a cada alteração (intervalo mínimo de 10 minutos), diária ou semanal — só copia quando há alterações desde a última cópia.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Corre com a aplicação aberta: ao arrancar, a cada minuto e quando muda de separador. O navegador pode pedir para </w:t>
      </w:r>
      <w:r>
        <w:rPr>
          <w:b/>
          <w:bCs/>
        </w:rPr>
        <w:t xml:space="preserve">reautorizar a pasta</w:t>
      </w:r>
      <w:r>
        <w:t xml:space="preserve"> em cada sessão — a aplicação avisa e o botão «Autorizar» resolve.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Copiar agora</w:t>
      </w:r>
      <w:r>
        <w:t xml:space="preserve"> força uma cópia; a última cópia e eventuais erros ficam visíveis no cartão. Para repor: Dados e privacidade → Importar cópia.</w:t>
      </w:r>
    </w:p>
    <w:p>
      <w:pPr>
        <w:pStyle w:val="Heading1"/>
        <w:pageBreakBefore/>
      </w:pPr>
      <w:r>
        <w:t xml:space="preserve">22. Receber ficheiros partilhados (Recebidos)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180"/>
          <w:sz w:val="18"/>
          <w:szCs w:val="18"/>
        </w:rPr>
        <w:t xml:space="preserve">Figura 44 — Página «Recebidos» com um ficheiro e uma ligação partilhados para a aplicação.</w:t>
      </w:r>
    </w:p>
    <w:p>
      <w:pPr>
        <w:spacing w:after="120" w:line="276"/>
      </w:pPr>
      <w:r>
        <w:t xml:space="preserve">No Android, com a aplicação instalada, use </w:t>
      </w:r>
      <w:r>
        <w:rPr>
          <w:b/>
          <w:bCs/>
        </w:rPr>
        <w:t xml:space="preserve">Partilhar → Balcão das Sucessões</w:t>
      </w:r>
      <w:r>
        <w:t xml:space="preserve"> num PDF, numa fotografia ou numa ligação: o item aparece em </w:t>
      </w:r>
      <w:r>
        <w:rPr>
          <w:b/>
          <w:bCs/>
        </w:rPr>
        <w:t xml:space="preserve">Recebidos</w:t>
      </w:r>
      <w:r>
        <w:t xml:space="preserve"> (barra lateral, com contador, e aviso ao arrancar). Escolha o dossier e </w:t>
      </w:r>
      <w:r>
        <w:rPr>
          <w:b/>
          <w:bCs/>
        </w:rPr>
        <w:t xml:space="preserve">Anexar ao dossier</w:t>
      </w:r>
      <w:r>
        <w:t xml:space="preserve"> (os ficheiros passam a documentos «recebidos», com anexo) ou </w:t>
      </w:r>
      <w:r>
        <w:rPr>
          <w:b/>
          <w:bCs/>
        </w:rPr>
        <w:t xml:space="preserve">Guardar como nota</w:t>
      </w:r>
      <w:r>
        <w:t xml:space="preserve"> (texto ou ligação); pode também ignorar. No iPhone a partilha direta ainda não é suportada pelo sistema — anexe os ficheiros no separador «Documentos».</w:t>
      </w:r>
    </w:p>
    <w:p>
      <w:pPr>
        <w:pStyle w:val="Heading1"/>
        <w:pageBreakBefore/>
      </w:pPr>
      <w:r>
        <w:t xml:space="preserve">23. Anular e reciclagem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180"/>
          <w:sz w:val="18"/>
          <w:szCs w:val="18"/>
        </w:rPr>
        <w:t xml:space="preserve">Figura 45 — Aviso com «Anular» depois de mudar o estado de uma tarefa.</w:t>
      </w:r>
    </w:p>
    <w:p>
      <w:pPr>
        <w:spacing w:after="120" w:line="276"/>
      </w:pPr>
      <w:r>
        <w:t xml:space="preserve">Cada ação reversível — mudança de estado de tarefa (individual ou em massa), alterações em massa, estado de documento, evento realizado e todas as remoções — mostra um aviso com o botão </w:t>
      </w:r>
      <w:r>
        <w:rPr>
          <w:b/>
          <w:bCs/>
        </w:rPr>
        <w:t xml:space="preserve">Anular</w:t>
      </w:r>
      <w:r>
        <w:t xml:space="preserve">; </w:t>
      </w:r>
      <w:r>
        <w:rPr>
          <w:b/>
          <w:bCs/>
        </w:rPr>
        <w:t xml:space="preserve">Ctrl/⌘+Z</w:t>
      </w:r>
      <w:r>
        <w:t xml:space="preserve"> desfaz a última ação fora dos campos de texto, e a paleta tem «Anular a última ação». Cada anulação fica no histórico («Anulado: …»).</w:t>
      </w:r>
    </w:p>
    <w:p>
      <w:pPr>
        <w:pStyle w:val="Heading2"/>
      </w:pPr>
      <w:r>
        <w:t xml:space="preserve">23.1 Reciclagem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180"/>
          <w:sz w:val="18"/>
          <w:szCs w:val="18"/>
        </w:rPr>
        <w:t xml:space="preserve">Figura 46 — Página «Reciclagem».</w:t>
      </w:r>
    </w:p>
    <w:p>
      <w:pPr>
        <w:spacing w:after="120" w:line="276"/>
      </w:pPr>
      <w:r>
        <w:t xml:space="preserve">O que se remove deixa de ser apagado: tarefas, interessados, bens, dívidas, notas, contactos, eventos, documentos (com o anexo) e </w:t>
      </w:r>
      <w:r>
        <w:rPr>
          <w:b/>
          <w:bCs/>
        </w:rPr>
        <w:t xml:space="preserve">dossiers inteiros</w:t>
      </w:r>
      <w:r>
        <w:t xml:space="preserve"> vão para a </w:t>
      </w:r>
      <w:r>
        <w:rPr>
          <w:b/>
          <w:bCs/>
        </w:rPr>
        <w:t xml:space="preserve">Reciclagem</w:t>
      </w:r>
      <w:r>
        <w:t xml:space="preserve"> durante 30 dias, com quem apagou e quando. Em </w:t>
      </w:r>
      <w:r>
        <w:rPr>
          <w:b/>
          <w:bCs/>
        </w:rPr>
        <w:t xml:space="preserve">Reciclagem</w:t>
      </w:r>
      <w:r>
        <w:t xml:space="preserve"> (barra lateral quando há itens, Definições ou histórico do dossier) pode </w:t>
      </w:r>
      <w:r>
        <w:rPr>
          <w:b/>
          <w:bCs/>
        </w:rPr>
        <w:t xml:space="preserve">repor</w:t>
      </w:r>
      <w:r>
        <w:t xml:space="preserve"> cada item no sítio de origem — fica registado no histórico — ou apagá-lo definitivamente; «Esvaziar» apaga tudo (ou só o de um dossier). Os itens expiram automaticamente ao fim de 30 dias.</w:t>
      </w:r>
    </w:p>
    <w:p>
      <w:pPr>
        <w:pStyle w:val="Heading2"/>
      </w:pPr>
      <w:r>
        <w:t xml:space="preserve">23.2 Histórico pesquisável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180"/>
          <w:sz w:val="18"/>
          <w:szCs w:val="18"/>
        </w:rPr>
        <w:t xml:space="preserve">Figura 47 — Histórico do dossier com o filtro «Só anulações e reposições».</w:t>
      </w:r>
    </w:p>
    <w:p>
      <w:pPr>
        <w:spacing w:after="120" w:line="276"/>
      </w:pPr>
      <w:r>
        <w:t xml:space="preserve">O separador </w:t>
      </w:r>
      <w:r>
        <w:rPr>
          <w:b/>
          <w:bCs/>
        </w:rPr>
        <w:t xml:space="preserve">Histórico</w:t>
      </w:r>
      <w:r>
        <w:t xml:space="preserve"> ganhou pesquisa por texto, filtro por tipo de registo e a opção «Só anulações e reposições», com contagem «n de m».</w:t>
      </w:r>
    </w:p>
    <w:p>
      <w:pPr>
        <w:pStyle w:val="Heading1"/>
        <w:pageBreakBefore/>
      </w:pPr>
      <w:r>
        <w:t xml:space="preserve">24. Análise da equipa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180"/>
          <w:sz w:val="18"/>
          <w:szCs w:val="18"/>
        </w:rPr>
        <w:t xml:space="preserve">Figura 48 — Página «Análise da equipa».</w:t>
      </w:r>
    </w:p>
    <w:p>
      <w:pPr>
        <w:spacing w:after="120" w:line="276"/>
      </w:pPr>
      <w:r>
        <w:t xml:space="preserve">Em </w:t>
      </w:r>
      <w:r>
        <w:rPr>
          <w:b/>
          <w:bCs/>
        </w:rPr>
        <w:t xml:space="preserve">Escritório → Análise da equipa</w:t>
      </w:r>
      <w:r>
        <w:t xml:space="preserve"> veja como está a correr o trabalho: dossiers ativos e encerrados, prazos cumpridos, tarefas em atraso e concluídas, tempo médio de encerramento; </w:t>
      </w:r>
      <w:r>
        <w:rPr>
          <w:b/>
          <w:bCs/>
        </w:rPr>
        <w:t xml:space="preserve">dossiers e prazos por mês</w:t>
      </w:r>
      <w:r>
        <w:t xml:space="preserve">, </w:t>
      </w:r>
      <w:r>
        <w:rPr>
          <w:b/>
          <w:bCs/>
        </w:rPr>
        <w:t xml:space="preserve">tempo até concluir cada fase</w:t>
      </w:r>
      <w:r>
        <w:t xml:space="preserve"> (mediana de dias desde a abertura), </w:t>
      </w:r>
      <w:r>
        <w:rPr>
          <w:b/>
          <w:bCs/>
        </w:rPr>
        <w:t xml:space="preserve">tarefas por fase</w:t>
      </w:r>
      <w:r>
        <w:t xml:space="preserve"> e a tabela </w:t>
      </w:r>
      <w:r>
        <w:rPr>
          <w:b/>
          <w:bCs/>
        </w:rPr>
        <w:t xml:space="preserve">por pessoa</w:t>
      </w:r>
      <w:r>
        <w:t xml:space="preserve"> (dossiers ativos, tarefas em aberto e em atraso, concluídas nos últimos 30 dias, taxa de prazos cumpridos, tempo médio de conclusão). Escolha o período (3, 6, 12 meses ou tudo) e, se quiser, uma pessoa; exporte as tabelas em CSV.</w:t>
      </w:r>
    </w:p>
    <w:tbl>
      <w:tblPr>
        <w:tblW w:type="dxa" w:w="9638"/>
        <w:tblBorders>
          <w:top w:val="single" w:color="EEF0FB" w:sz="4"/>
          <w:left w:val="single" w:color="EEF0FB" w:sz="4"/>
          <w:bottom w:val="single" w:color="EEF0FB" w:sz="4"/>
          <w:right w:val="single" w:color="EEF0FB" w:sz="4"/>
          <w:insideH w:val="single" w:color="EEF0FB" w:sz="4"/>
          <w:insideV w:val="single" w:color="EEF0FB" w:sz="4"/>
        </w:tblBorders>
      </w:tblPr>
      <w:tblGrid>
        <w:gridCol w:w="9638"/>
      </w:tblGrid>
      <w:tr>
        <w:tc>
          <w:tcPr>
            <w:tcW w:type="dxa" w:w="9638"/>
            <w:shd w:fill="EEF0FB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2D39B9"/>
              </w:rPr>
              <w:t xml:space="preserve">Gráficos acessíveis</w:t>
            </w:r>
          </w:p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Todos os gráficos são SVG com título, descrição textual dos valores, legenda e o botão </w:t>
            </w:r>
            <w:r>
              <w:rPr>
                <w:b/>
                <w:bCs/>
                <w:sz w:val="20"/>
                <w:szCs w:val="20"/>
              </w:rPr>
              <w:t xml:space="preserve">Tabela</w:t>
            </w:r>
            <w:r>
              <w:rPr>
                <w:sz w:val="20"/>
                <w:szCs w:val="20"/>
              </w:rPr>
              <w:t xml:space="preserve">, que substitui o gráfico pela tabela com os mesmos dados. Os encerramentos usam a data da última alteração do dossier; são indicadores de gestão interna, sem valor probatório.</w:t>
            </w:r>
          </w:p>
        </w:tc>
      </w:tr>
    </w:tbl>
    <w:p>
      <w:pPr>
        <w:keepNext/>
        <w:spacing w:after="60" w:before="120"/>
        <w:jc w:val="center"/>
      </w:pPr>
      <w:r>
        <w:drawing>
          <wp:inline distT="0" distB="0" distL="0" distR="0">
            <wp:extent cx="6096000" cy="619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619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180"/>
          <w:sz w:val="18"/>
          <w:szCs w:val="18"/>
        </w:rPr>
        <w:t xml:space="preserve">Figura 49 — Análise da equipa (página inteira).</w:t>
      </w:r>
    </w:p>
    <w:p>
      <w:pPr>
        <w:pStyle w:val="Heading1"/>
        <w:pageBreakBefore/>
      </w:pPr>
      <w:r>
        <w:t xml:space="preserve">25. Pesquisa avançada e vistas guardadas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180"/>
          <w:sz w:val="18"/>
          <w:szCs w:val="18"/>
        </w:rPr>
        <w:t xml:space="preserve">Figura 50 — Painel «Filtros» da lista de dossiers.</w:t>
      </w:r>
    </w:p>
    <w:p>
      <w:pPr>
        <w:spacing w:after="120" w:line="276"/>
      </w:pPr>
      <w:r>
        <w:t xml:space="preserve">Na lista de dossiers, o botão </w:t>
      </w:r>
      <w:r>
        <w:rPr>
          <w:b/>
          <w:bCs/>
        </w:rPr>
        <w:t xml:space="preserve">Filtros</w:t>
      </w:r>
      <w:r>
        <w:t xml:space="preserve"> abre um painel com situação, semáforo, responsável, </w:t>
      </w:r>
      <w:r>
        <w:rPr>
          <w:b/>
          <w:bCs/>
        </w:rPr>
        <w:t xml:space="preserve">prioridade</w:t>
      </w:r>
      <w:r>
        <w:t xml:space="preserve">, </w:t>
      </w:r>
      <w:r>
        <w:rPr>
          <w:b/>
          <w:bCs/>
        </w:rPr>
        <w:t xml:space="preserve">etiqueta</w:t>
      </w:r>
      <w:r>
        <w:t xml:space="preserve">, </w:t>
      </w:r>
      <w:r>
        <w:rPr>
          <w:b/>
          <w:bCs/>
        </w:rPr>
        <w:t xml:space="preserve">fase atual</w:t>
      </w:r>
      <w:r>
        <w:t xml:space="preserve">, </w:t>
      </w:r>
      <w:r>
        <w:rPr>
          <w:b/>
          <w:bCs/>
        </w:rPr>
        <w:t xml:space="preserve">prazos</w:t>
      </w:r>
      <w:r>
        <w:t xml:space="preserve"> (ultrapassados, próximos 7 ou 30 dias, sem prazos), </w:t>
      </w:r>
      <w:r>
        <w:rPr>
          <w:b/>
          <w:bCs/>
        </w:rPr>
        <w:t xml:space="preserve">data do óbito</w:t>
      </w:r>
      <w:r>
        <w:t xml:space="preserve"> e </w:t>
      </w:r>
      <w:r>
        <w:rPr>
          <w:b/>
          <w:bCs/>
        </w:rPr>
        <w:t xml:space="preserve">internacional</w:t>
      </w:r>
      <w:r>
        <w:t xml:space="preserve">. Os filtros aplicam-se de imediato, aparecem como chips (com remoção individual) e ficam </w:t>
      </w:r>
      <w:r>
        <w:rPr>
          <w:b/>
          <w:bCs/>
        </w:rPr>
        <w:t xml:space="preserve">no endereço da página</w:t>
      </w:r>
      <w:r>
        <w:t xml:space="preserve"> — pode guardá-lo nos favoritos ou partilhá-lo.</w:t>
      </w:r>
    </w:p>
    <w:p>
      <w:pPr>
        <w:pStyle w:val="Heading2"/>
      </w:pPr>
      <w:r>
        <w:t xml:space="preserve">25.1 Vistas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180"/>
          <w:sz w:val="18"/>
          <w:szCs w:val="18"/>
        </w:rPr>
        <w:t xml:space="preserve">Figura 51 — Painel «Vistas»: predefinidas e guardadas com nome.</w:t>
      </w:r>
    </w:p>
    <w:p>
      <w:pPr>
        <w:spacing w:after="120" w:line="276"/>
      </w:pPr>
      <w:r>
        <w:t xml:space="preserve">O botão </w:t>
      </w:r>
      <w:r>
        <w:rPr>
          <w:b/>
          <w:bCs/>
        </w:rPr>
        <w:t xml:space="preserve">Vistas</w:t>
      </w:r>
      <w:r>
        <w:t xml:space="preserve"> oferece vistas predefinidas (prazos ultrapassados, urgentes, prazo em 7 dias, internacionais, óbitos recentes, concluídos) e as suas </w:t>
      </w:r>
      <w:r>
        <w:rPr>
          <w:b/>
          <w:bCs/>
        </w:rPr>
        <w:t xml:space="preserve">vistas guardadas com nome</w:t>
      </w:r>
      <w:r>
        <w:t xml:space="preserve"> (guardar a vista atual, aplicar, apagar). As vistas ficam nas definições e entram na cópia de segurança.</w:t>
      </w:r>
    </w:p>
    <w:p>
      <w:pPr>
        <w:pStyle w:val="Heading2"/>
      </w:pPr>
      <w:r>
        <w:t xml:space="preserve">25.2 Pesquisa profunda e pesquisa global</w:t>
      </w:r>
    </w:p>
    <w:p>
      <w:pPr>
        <w:spacing w:after="120" w:line="276"/>
      </w:pPr>
      <w:r>
        <w:t xml:space="preserve">No painel de filtros, «Pesquisar também em notas, contactos, documentos, interessados e bens» alarga a pesquisa da lista ao conteúdo dos dossiers. Na </w:t>
      </w:r>
      <w:r>
        <w:rPr>
          <w:b/>
          <w:bCs/>
        </w:rPr>
        <w:t xml:space="preserve">paleta de comandos</w:t>
      </w:r>
      <w:r>
        <w:t xml:space="preserve"> (⌘K), a pesquisa passa a encontrar também notas, contactos e documentos, abrindo o separador certo do dossier.</w:t>
      </w:r>
    </w:p>
    <w:p>
      <w:pPr>
        <w:pStyle w:val="Heading1"/>
        <w:pageBreakBefore/>
      </w:pPr>
      <w:r>
        <w:t xml:space="preserve">26. Documentos: validade, pedidos, pré-visualização e lote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180"/>
          <w:sz w:val="18"/>
          <w:szCs w:val="18"/>
        </w:rPr>
        <w:t xml:space="preserve">Figura 52 — Certidões com etiqueta de validade e filtro «A expirar».</w:t>
      </w:r>
    </w:p>
    <w:p>
      <w:pPr>
        <w:pStyle w:val="Heading2"/>
      </w:pPr>
      <w:r>
        <w:t xml:space="preserve">26.1 Validade das certidões</w:t>
      </w:r>
    </w:p>
    <w:p>
      <w:pPr>
        <w:spacing w:after="120" w:line="276"/>
      </w:pPr>
      <w:r>
        <w:t xml:space="preserve">Cada documento tem </w:t>
      </w:r>
      <w:r>
        <w:rPr>
          <w:b/>
          <w:bCs/>
        </w:rPr>
        <w:t xml:space="preserve">data de emissão</w:t>
      </w:r>
      <w:r>
        <w:t xml:space="preserve"> e </w:t>
      </w:r>
      <w:r>
        <w:rPr>
          <w:b/>
          <w:bCs/>
        </w:rPr>
        <w:t xml:space="preserve">validade</w:t>
      </w:r>
      <w:r>
        <w:t xml:space="preserve"> em meses (por omissão pelo nome: certidões 6 meses, registo criminal 3, restantes sem prazo — a confirmar caso a caso). Só os documentos recebidos ou validados expiram; sem data de emissão conta a receção. A lista assinala «Expira em n dias» (últimos 30 dias) e «Expirada há n dias», o resumo conta-os e o filtro </w:t>
      </w:r>
      <w:r>
        <w:rPr>
          <w:b/>
          <w:bCs/>
        </w:rPr>
        <w:t xml:space="preserve">A expirar</w:t>
      </w:r>
      <w:r>
        <w:t xml:space="preserve"> isola-os. Ajuste a emissão e a validade na ficha do documento.</w:t>
      </w:r>
    </w:p>
    <w:p>
      <w:pPr>
        <w:pStyle w:val="Heading2"/>
      </w:pPr>
      <w:r>
        <w:t xml:space="preserve">26.2 Pedidos por interessado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180"/>
          <w:sz w:val="18"/>
          <w:szCs w:val="18"/>
        </w:rPr>
        <w:t xml:space="preserve">Figura 53 — Pedido de documentos a um interessado, pronto a copiar ou enviar.</w:t>
      </w:r>
    </w:p>
    <w:p>
      <w:pPr>
        <w:spacing w:after="120" w:line="276"/>
      </w:pPr>
      <w:r>
        <w:t xml:space="preserve">O menu </w:t>
      </w:r>
      <w:r>
        <w:rPr>
          <w:b/>
          <w:bCs/>
        </w:rPr>
        <w:t xml:space="preserve">Pedir documentos</w:t>
      </w:r>
      <w:r>
        <w:t xml:space="preserve"> lista, além da minuta de e-mail ao cliente, cada interessado com documentos por entregar (os seus e, para o cliente, os genéricos que só ele pode fornecer). A folha permite escolher os documentos, sugerir uma data limite, ver o texto do pedido (com a validade habitual das certidões), </w:t>
      </w:r>
      <w:r>
        <w:rPr>
          <w:b/>
          <w:bCs/>
        </w:rPr>
        <w:t xml:space="preserve">copiar</w:t>
      </w:r>
      <w:r>
        <w:t xml:space="preserve">, </w:t>
      </w:r>
      <w:r>
        <w:rPr>
          <w:b/>
          <w:bCs/>
        </w:rPr>
        <w:t xml:space="preserve">abrir no e-mail</w:t>
      </w:r>
      <w:r>
        <w:t xml:space="preserve"> e </w:t>
      </w:r>
      <w:r>
        <w:rPr>
          <w:b/>
          <w:bCs/>
        </w:rPr>
        <w:t xml:space="preserve">marcar como pedidos</w:t>
      </w:r>
      <w:r>
        <w:t xml:space="preserve"> — a data de pedido fica preenchida e o histórico regista «Pedido de n documento(s) a …».</w:t>
      </w:r>
    </w:p>
    <w:p>
      <w:pPr>
        <w:pStyle w:val="Heading2"/>
      </w:pPr>
      <w:r>
        <w:t xml:space="preserve">26.3 Pré-visualização e ações em lote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180"/>
          <w:sz w:val="18"/>
          <w:szCs w:val="18"/>
        </w:rPr>
        <w:t xml:space="preserve">Figura 54 — Pré-visualização de um anexo dentro da aplicação.</w:t>
      </w:r>
    </w:p>
    <w:p>
      <w:pPr>
        <w:spacing w:after="120" w:line="276"/>
      </w:pPr>
      <w:r>
        <w:t xml:space="preserve">PDF, imagens e texto abrem numa folha dentro da aplicação (ícone do olho ou nome do ficheiro); os restantes tipos descarregam-se. Com </w:t>
      </w:r>
      <w:r>
        <w:rPr>
          <w:b/>
          <w:bCs/>
        </w:rPr>
        <w:t xml:space="preserve">Selecionar</w:t>
      </w:r>
      <w:r>
        <w:t xml:space="preserve"> marque vários documentos («Todos os visíveis») e mude o estado de todos de uma vez — as datas de pedido e de receção são preenchidas quando faltam — ou remova-os para a reciclagem; ambas as ações podem ser anuladas.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180"/>
          <w:sz w:val="18"/>
          <w:szCs w:val="18"/>
        </w:rPr>
        <w:t xml:space="preserve">Figura 55 — Seleção de documentos com a barra de ações em lote.</w:t>
      </w:r>
    </w:p>
    <w:p>
      <w:pPr>
        <w:pStyle w:val="Heading1"/>
        <w:pageBreakBefore/>
      </w:pPr>
      <w:r>
        <w:t xml:space="preserve">27. Perguntas frequentes e resolução de problemas</w:t>
      </w:r>
    </w:p>
    <w:p>
      <w:pPr>
        <w:spacing w:after="40" w:before="160"/>
      </w:pPr>
      <w:r>
        <w:rPr>
          <w:b/>
          <w:bCs/>
          <w:color w:val="1B1F3B"/>
        </w:rPr>
        <w:t xml:space="preserve">Não vejo o botão «Instalar».</w:t>
      </w:r>
    </w:p>
    <w:p>
      <w:pPr>
        <w:spacing w:after="120" w:line="276"/>
      </w:pPr>
      <w:r>
        <w:t xml:space="preserve">Nem todos os navegadores o mostram. No Safari use Partilhar → Adicionar ao ecrã principal (na barra compacta do Safari mais recente, toque no menu ≡ dentro da barra de endereço — a opção aparece diretamente); no Firefox use os menus do navegador. Se a aplicação já está instalada, o botão desaparece.</w:t>
      </w:r>
    </w:p>
    <w:p>
      <w:pPr>
        <w:spacing w:after="40" w:before="160"/>
      </w:pPr>
      <w:r>
        <w:rPr>
          <w:b/>
          <w:bCs/>
          <w:color w:val="1B1F3B"/>
        </w:rPr>
        <w:t xml:space="preserve">As notificações não aparecem.</w:t>
      </w:r>
    </w:p>
    <w:p>
      <w:pPr>
        <w:spacing w:after="120" w:line="276"/>
      </w:pPr>
      <w:r>
        <w:t xml:space="preserve">Ative-as em Definições → Agenda e lembretes e aceite o pedido do navegador. Se aparecer «Notificações bloqueadas», reative-as nas definições do site no navegador. Alguns sistemas só mostram notificações com a aplicação instalada.</w:t>
      </w:r>
    </w:p>
    <w:p>
      <w:pPr>
        <w:spacing w:after="40" w:before="160"/>
      </w:pPr>
      <w:r>
        <w:rPr>
          <w:b/>
          <w:bCs/>
          <w:color w:val="1B1F3B"/>
        </w:rPr>
        <w:t xml:space="preserve">A aplicação diz «Sem ligação».</w:t>
      </w:r>
    </w:p>
    <w:p>
      <w:pPr>
        <w:spacing w:after="120" w:line="276"/>
      </w:pPr>
      <w:r>
        <w:t xml:space="preserve">É apenas informativo: pode continuar a trabalhar. A ligação só é necessária para receber novas versões.</w:t>
      </w:r>
    </w:p>
    <w:p>
      <w:pPr>
        <w:spacing w:after="40" w:before="160"/>
      </w:pPr>
      <w:r>
        <w:rPr>
          <w:b/>
          <w:bCs/>
          <w:color w:val="1B1F3B"/>
        </w:rPr>
        <w:t xml:space="preserve">Perdi os dossiers depois de limpar o navegador.</w:t>
      </w:r>
    </w:p>
    <w:p>
      <w:pPr>
        <w:spacing w:after="120" w:line="276"/>
      </w:pPr>
      <w:r>
        <w:t xml:space="preserve">Os dados vivem no navegador; restaure a última cópia de segurança (Definições → Importar cópia). Ative «Armazenamento persistente» para reduzir o risco de limpeza automática.</w:t>
      </w:r>
    </w:p>
    <w:p>
      <w:pPr>
        <w:spacing w:after="40" w:before="160"/>
      </w:pPr>
      <w:r>
        <w:rPr>
          <w:b/>
          <w:bCs/>
          <w:color w:val="1B1F3B"/>
        </w:rPr>
        <w:t xml:space="preserve">Como partilho um dossier com um colega?</w:t>
      </w:r>
    </w:p>
    <w:p>
      <w:pPr>
        <w:spacing w:after="120" w:line="276"/>
      </w:pPr>
      <w:r>
        <w:t xml:space="preserve">No dossier, menu ⋯ → Partilhar com colega… gera um ficheiro cifrado com tudo (capítulo 20); o colega importa-o em Dossiers → Importar dossier, com pré-visualização dos conflitos. Cada pessoa trabalha na sua cópia; a sincronização automática está prevista para uma fase posterior.</w:t>
      </w:r>
    </w:p>
    <w:p>
      <w:pPr>
        <w:spacing w:after="40" w:before="160"/>
      </w:pPr>
      <w:r>
        <w:rPr>
          <w:b/>
          <w:bCs/>
          <w:color w:val="1B1F3B"/>
        </w:rPr>
        <w:t xml:space="preserve">Os prazos calculados estão certos?</w:t>
      </w:r>
    </w:p>
    <w:p>
      <w:pPr>
        <w:spacing w:after="120" w:line="276"/>
      </w:pPr>
      <w:r>
        <w:t xml:space="preserve">São calculados com as regras indicadas no capítulo 8 a partir da data do óbito. Confirme sempre a regra aplicável e ajuste o prazo à mão na gaveta da tarefa, se necessário (o prazo manual é preservado nas reconciliações).</w:t>
      </w:r>
    </w:p>
    <w:p>
      <w:pPr>
        <w:spacing w:after="40" w:before="160"/>
      </w:pPr>
      <w:r>
        <w:rPr>
          <w:b/>
          <w:bCs/>
          <w:color w:val="1B1F3B"/>
        </w:rPr>
        <w:t xml:space="preserve">Mudei o questionário e desapareceram tarefas.</w:t>
      </w:r>
    </w:p>
    <w:p>
      <w:pPr>
        <w:spacing w:after="120" w:line="276"/>
      </w:pPr>
      <w:r>
        <w:t xml:space="preserve">Só desaparecem tarefas que deixaram de se aplicar e que nunca tinham sido tocadas. As já trabalhadas ficam marcadas como obsoletas e podem ser restauradas. O relatório da reconciliação lista tudo o que mudou.</w:t>
      </w:r>
    </w:p>
    <w:p>
      <w:pPr>
        <w:spacing w:after="40" w:before="160"/>
      </w:pPr>
      <w:r>
        <w:rPr>
          <w:b/>
          <w:bCs/>
          <w:color w:val="1B1F3B"/>
        </w:rPr>
        <w:t xml:space="preserve">Como removo os dados fictícios?</w:t>
      </w:r>
    </w:p>
    <w:p>
      <w:pPr>
        <w:spacing w:after="120" w:line="276"/>
      </w:pPr>
      <w:r>
        <w:t xml:space="preserve">Definições → Dados e privacidade → Remover dados de demonstração. Os dossiers reais não são afetados.</w:t>
      </w:r>
    </w:p>
    <w:p>
      <w:pPr>
        <w:spacing w:after="40" w:before="160"/>
      </w:pPr>
      <w:r>
        <w:rPr>
          <w:b/>
          <w:bCs/>
          <w:color w:val="1B1F3B"/>
        </w:rPr>
        <w:t xml:space="preserve">Apaguei algo por engano.</w:t>
      </w:r>
    </w:p>
    <w:p>
      <w:pPr>
        <w:spacing w:after="120" w:line="276"/>
      </w:pPr>
      <w:r>
        <w:t xml:space="preserve">Use «Anular» no aviso (ou Ctrl/⌘+Z). Se já passou, abra a Reciclagem (barra lateral, Definições ou histórico do dossier) e reponha o item — fica lá 30 dias (capítulo 23).</w:t>
      </w:r>
    </w:p>
    <w:p>
      <w:pPr>
        <w:spacing w:after="40" w:before="160"/>
      </w:pPr>
      <w:r>
        <w:rPr>
          <w:b/>
          <w:bCs/>
          <w:color w:val="1B1F3B"/>
        </w:rPr>
        <w:t xml:space="preserve">Uma certidão aparece como «expirada».</w:t>
      </w:r>
    </w:p>
    <w:p>
      <w:pPr>
        <w:spacing w:after="120" w:line="276"/>
      </w:pPr>
      <w:r>
        <w:t xml:space="preserve">A validade habitual das certidões é de 6 meses a contar da emissão (ou da receção, se não indicou a emissão). Ajuste a emissão e a validade na ficha do documento, ou peça uma certidão recente (capítulo 26).</w:t>
      </w:r>
    </w:p>
    <w:p>
      <w:pPr>
        <w:spacing w:after="40" w:before="160"/>
      </w:pPr>
      <w:r>
        <w:rPr>
          <w:b/>
          <w:bCs/>
          <w:color w:val="1B1F3B"/>
        </w:rPr>
        <w:t xml:space="preserve">O ficheiro Word não abre.</w:t>
      </w:r>
    </w:p>
    <w:p>
      <w:pPr>
        <w:spacing w:after="120" w:line="276"/>
      </w:pPr>
      <w:r>
        <w:t xml:space="preserve">As minutas são geradas em Office Open XML e abrem no Word, LibreOffice e Pages. Se o navegador bloquear a transferência, autorize transferências automáticas para este site.</w:t>
      </w:r>
    </w:p>
    <w:p>
      <w:pPr>
        <w:spacing w:after="40" w:before="160"/>
      </w:pPr>
      <w:r>
        <w:rPr>
          <w:b/>
          <w:bCs/>
          <w:color w:val="1B1F3B"/>
        </w:rPr>
        <w:t xml:space="preserve">Posso usar em vários dispositivos ao mesmo tempo?</w:t>
      </w:r>
    </w:p>
    <w:p>
      <w:pPr>
        <w:spacing w:after="120" w:line="276"/>
      </w:pPr>
      <w:r>
        <w:t xml:space="preserve">Sim, mas cada um tem os seus dados. Use cópias de segurança (cifradas) para os alinhar até existir sincronização.</w:t>
      </w:r>
    </w:p>
    <w:p>
      <w:pPr>
        <w:spacing w:after="40" w:before="160"/>
      </w:pPr>
      <w:r>
        <w:rPr>
          <w:b/>
          <w:bCs/>
          <w:color w:val="1B1F3B"/>
        </w:rPr>
        <w:t xml:space="preserve">Esqueci-me do PIN.</w:t>
      </w:r>
    </w:p>
    <w:p>
      <w:pPr>
        <w:spacing w:after="120" w:line="276"/>
      </w:pPr>
      <w:r>
        <w:t xml:space="preserve">Não é recuperável. Apague os dados do navegador (ou desinstale/reinstale a aplicação) e reponha a última cópia de segurança; depois defina um PIN novo.</w:t>
      </w:r>
    </w:p>
    <w:p>
      <w:pPr>
        <w:spacing w:after="40" w:before="160"/>
      </w:pPr>
      <w:r>
        <w:rPr>
          <w:b/>
          <w:bCs/>
          <w:color w:val="1B1F3B"/>
        </w:rPr>
        <w:t xml:space="preserve">A cópia cifrada não abre.</w:t>
      </w:r>
    </w:p>
    <w:p>
      <w:pPr>
        <w:spacing w:after="120" w:line="276"/>
      </w:pPr>
      <w:r>
        <w:t xml:space="preserve">Confirme a palavra-passe (é sensível a maiúsculas e minúsculas) e use a pista, se a definiu. Um ficheiro alterado ou truncado também é recusado — volte a exportar a partir do dispositivo de origem.</w:t>
      </w:r>
    </w:p>
    <w:p>
      <w:pPr>
        <w:spacing w:after="40" w:before="160"/>
      </w:pPr>
      <w:r>
        <w:rPr>
          <w:b/>
          <w:bCs/>
          <w:color w:val="1B1F3B"/>
        </w:rPr>
        <w:t xml:space="preserve">O ponto de situação está em português mas o cliente é francês.</w:t>
      </w:r>
    </w:p>
    <w:p>
      <w:pPr>
        <w:spacing w:after="120" w:line="276"/>
      </w:pPr>
      <w:r>
        <w:t xml:space="preserve">No relatório «Ponto de situação (cliente)» escolha a língua (Português, Français, English) antes de exportar. Os títulos das diligências mantêm-se em português.</w:t>
      </w:r>
    </w:p>
    <w:p>
      <w:pPr>
        <w:spacing w:after="40" w:before="160"/>
      </w:pPr>
      <w:r>
        <w:rPr>
          <w:b/>
          <w:bCs/>
          <w:color w:val="1B1F3B"/>
        </w:rPr>
        <w:t xml:space="preserve">Como sei a lei aplicável a uma sucessão com ligação a outro país?</w:t>
      </w:r>
    </w:p>
    <w:p>
      <w:pPr>
        <w:spacing w:after="120" w:line="276"/>
      </w:pPr>
      <w:r>
        <w:t xml:space="preserve">Abra o separador Internacional do dossier: indique a residência habitual, as nacionalidades e uma eventual escolha de lei e siga a análise passo a passo, confirmando com o colega local.</w:t>
      </w:r>
    </w:p>
    <w:p>
      <w:pPr>
        <w:pStyle w:val="Heading1"/>
        <w:pageBreakBefore/>
      </w:pPr>
      <w:r>
        <w:t xml:space="preserve">Anexo A — Fases e estados</w:t>
      </w:r>
    </w:p>
    <w:tbl>
      <w:tblPr>
        <w:tblW w:type="dxa" w:w="9638"/>
        <w:tblBorders>
          <w:top w:val="single" w:color="D9DCE8" w:sz="4"/>
          <w:left w:val="single" w:color="D9DCE8" w:sz="4"/>
          <w:bottom w:val="single" w:color="D9DCE8" w:sz="4"/>
          <w:right w:val="single" w:color="D9DCE8" w:sz="4"/>
          <w:insideH w:val="single" w:color="D9DCE8" w:sz="4"/>
          <w:insideV w:val="single" w:color="D9DCE8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shd w:fill="EEF0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2D39B9"/>
                <w:sz w:val="19"/>
                <w:szCs w:val="19"/>
              </w:rPr>
              <w:t xml:space="preserve">Fase</w:t>
            </w:r>
          </w:p>
        </w:tc>
        <w:tc>
          <w:tcPr>
            <w:tcW w:type="dxa" w:w="7038"/>
            <w:shd w:fill="EEF0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2D39B9"/>
                <w:sz w:val="19"/>
                <w:szCs w:val="19"/>
              </w:rPr>
              <w:t xml:space="preserve">Âmbito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Abertura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Óbito, procuração, cabeça-de-casal e arranque do dossier.</w:t>
            </w:r>
          </w:p>
        </w:tc>
      </w:tr>
      <w:tr>
        <w:trPr>
          <w:cantSplit/>
        </w:trPr>
        <w:tc>
          <w:tcPr>
            <w:tcW w:type="dxa" w:w="26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Interessados</w:t>
            </w:r>
          </w:p>
        </w:tc>
        <w:tc>
          <w:tcPr>
            <w:tcW w:type="dxa" w:w="7038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Quem são os sucessíveis e demais interessados, e em que qualidade.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Testamento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Testamento, doações em vida e outras liberalidades.</w:t>
            </w:r>
          </w:p>
        </w:tc>
      </w:tr>
      <w:tr>
        <w:trPr>
          <w:cantSplit/>
        </w:trPr>
        <w:tc>
          <w:tcPr>
            <w:tcW w:type="dxa" w:w="26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Habilitação</w:t>
            </w:r>
          </w:p>
        </w:tc>
        <w:tc>
          <w:tcPr>
            <w:tcW w:type="dxa" w:w="7038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Habilitação de herdeiros e prova da qualidade sucessória.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Internacional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Elementos de estraneidade: lei aplicável, CSE e entidades estrangeiras.</w:t>
            </w:r>
          </w:p>
        </w:tc>
      </w:tr>
      <w:tr>
        <w:trPr>
          <w:cantSplit/>
        </w:trPr>
        <w:tc>
          <w:tcPr>
            <w:tcW w:type="dxa" w:w="26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Património</w:t>
            </w:r>
          </w:p>
        </w:tc>
        <w:tc>
          <w:tcPr>
            <w:tcW w:type="dxa" w:w="7038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Identificação, documentação e avaliação dos bens.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Passivo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Dívidas, encargos da herança e credores.</w:t>
            </w:r>
          </w:p>
        </w:tc>
      </w:tr>
      <w:tr>
        <w:trPr>
          <w:cantSplit/>
        </w:trPr>
        <w:tc>
          <w:tcPr>
            <w:tcW w:type="dxa" w:w="26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Fiscal</w:t>
            </w:r>
          </w:p>
        </w:tc>
        <w:tc>
          <w:tcPr>
            <w:tcW w:type="dxa" w:w="7038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Imposto do Selo, relação de bens, IRS e demais obrigações.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Partilha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Via da partilha, quinhões, tornas e autorizações.</w:t>
            </w:r>
          </w:p>
        </w:tc>
      </w:tr>
      <w:tr>
        <w:trPr>
          <w:cantSplit/>
        </w:trPr>
        <w:tc>
          <w:tcPr>
            <w:tcW w:type="dxa" w:w="26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Encerramento</w:t>
            </w:r>
          </w:p>
        </w:tc>
        <w:tc>
          <w:tcPr>
            <w:tcW w:type="dxa" w:w="7038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Registos, entrega de bens, relatório final e arquivo.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D9DCE8" w:sz="4"/>
          <w:left w:val="single" w:color="D9DCE8" w:sz="4"/>
          <w:bottom w:val="single" w:color="D9DCE8" w:sz="4"/>
          <w:right w:val="single" w:color="D9DCE8" w:sz="4"/>
          <w:insideH w:val="single" w:color="D9DCE8" w:sz="4"/>
          <w:insideV w:val="single" w:color="D9DCE8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shd w:fill="EEF0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2D39B9"/>
                <w:sz w:val="19"/>
                <w:szCs w:val="19"/>
              </w:rPr>
              <w:t xml:space="preserve">Estado da tarefa</w:t>
            </w:r>
          </w:p>
        </w:tc>
        <w:tc>
          <w:tcPr>
            <w:tcW w:type="dxa" w:w="6638"/>
            <w:shd w:fill="EEF0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2D39B9"/>
                <w:sz w:val="19"/>
                <w:szCs w:val="19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Pendente</w:t>
            </w:r>
          </w:p>
        </w:tc>
        <w:tc>
          <w:tcPr>
            <w:tcW w:type="dxa" w:w="6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Ainda não iniciada.</w:t>
            </w:r>
          </w:p>
        </w:tc>
      </w:tr>
      <w:tr>
        <w:trPr>
          <w:cantSplit/>
        </w:trPr>
        <w:tc>
          <w:tcPr>
            <w:tcW w:type="dxa" w:w="30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Em curso</w:t>
            </w:r>
          </w:p>
        </w:tc>
        <w:tc>
          <w:tcPr>
            <w:tcW w:type="dxa" w:w="6638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Em tratamento pela equipa.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A aguardar terceiros</w:t>
            </w:r>
          </w:p>
        </w:tc>
        <w:tc>
          <w:tcPr>
            <w:tcW w:type="dxa" w:w="6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Depende de banco, notário, cliente ou entidade externa.</w:t>
            </w:r>
          </w:p>
        </w:tc>
      </w:tr>
      <w:tr>
        <w:trPr>
          <w:cantSplit/>
        </w:trPr>
        <w:tc>
          <w:tcPr>
            <w:tcW w:type="dxa" w:w="30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Concluída</w:t>
            </w:r>
          </w:p>
        </w:tc>
        <w:tc>
          <w:tcPr>
            <w:tcW w:type="dxa" w:w="6638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Tratada e verificada.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Não aplicável</w:t>
            </w:r>
          </w:p>
        </w:tc>
        <w:tc>
          <w:tcPr>
            <w:tcW w:type="dxa" w:w="6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Não se aplica a este dossier.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D9DCE8" w:sz="4"/>
          <w:left w:val="single" w:color="D9DCE8" w:sz="4"/>
          <w:bottom w:val="single" w:color="D9DCE8" w:sz="4"/>
          <w:right w:val="single" w:color="D9DCE8" w:sz="4"/>
          <w:insideH w:val="single" w:color="D9DCE8" w:sz="4"/>
          <w:insideV w:val="single" w:color="D9DCE8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shd w:fill="EEF0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2D39B9"/>
                <w:sz w:val="19"/>
                <w:szCs w:val="19"/>
              </w:rPr>
              <w:t xml:space="preserve">Estado do dossier</w:t>
            </w:r>
          </w:p>
        </w:tc>
        <w:tc>
          <w:tcPr>
            <w:tcW w:type="dxa" w:w="6638"/>
            <w:shd w:fill="EEF0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2D39B9"/>
                <w:sz w:val="19"/>
                <w:szCs w:val="19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Ativo</w:t>
            </w:r>
          </w:p>
        </w:tc>
        <w:tc>
          <w:tcPr>
            <w:tcW w:type="dxa" w:w="6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Em trabalho; conta para o painel, os bloqueios e as minutas.</w:t>
            </w:r>
          </w:p>
        </w:tc>
      </w:tr>
      <w:tr>
        <w:trPr>
          <w:cantSplit/>
        </w:trPr>
        <w:tc>
          <w:tcPr>
            <w:tcW w:type="dxa" w:w="30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Suspenso</w:t>
            </w:r>
          </w:p>
        </w:tc>
        <w:tc>
          <w:tcPr>
            <w:tcW w:type="dxa" w:w="6638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Parado temporariamente (ex.: a aguardar decisão do cliente).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Concluído</w:t>
            </w:r>
          </w:p>
        </w:tc>
        <w:tc>
          <w:tcPr>
            <w:tcW w:type="dxa" w:w="6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Trabalho terminado; continua consultável.</w:t>
            </w:r>
          </w:p>
        </w:tc>
      </w:tr>
      <w:tr>
        <w:trPr>
          <w:cantSplit/>
        </w:trPr>
        <w:tc>
          <w:tcPr>
            <w:tcW w:type="dxa" w:w="30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Arquivado</w:t>
            </w:r>
          </w:p>
        </w:tc>
        <w:tc>
          <w:tcPr>
            <w:tcW w:type="dxa" w:w="6638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Fora das listas de trabalho e das minutas.</w:t>
            </w:r>
          </w:p>
        </w:tc>
      </w:tr>
    </w:tbl>
    <w:p>
      <w:pPr>
        <w:pStyle w:val="Heading1"/>
        <w:pageBreakBefore/>
      </w:pPr>
      <w:r>
        <w:t xml:space="preserve">Anexo B — O questionário (27 perguntas)</w:t>
      </w:r>
    </w:p>
    <w:p>
      <w:pPr>
        <w:spacing w:after="120" w:line="276"/>
      </w:pPr>
      <w:r>
        <w:t xml:space="preserve">As perguntas são condicionais: só aparecem as que fazem sentido com as respostas anteriores. Cada uma alimenta uma ou mais regras da checklist.</w:t>
      </w:r>
    </w:p>
    <w:tbl>
      <w:tblPr>
        <w:tblW w:type="dxa" w:w="9638"/>
        <w:tblBorders>
          <w:top w:val="single" w:color="D9DCE8" w:sz="4"/>
          <w:left w:val="single" w:color="D9DCE8" w:sz="4"/>
          <w:bottom w:val="single" w:color="D9DCE8" w:sz="4"/>
          <w:right w:val="single" w:color="D9DCE8" w:sz="4"/>
          <w:insideH w:val="single" w:color="D9DCE8" w:sz="4"/>
          <w:insideV w:val="single" w:color="D9DCE8" w:sz="4"/>
        </w:tblBorders>
      </w:tblPr>
      <w:tblGrid>
        <w:gridCol w:w="2000"/>
        <w:gridCol w:w="3800"/>
        <w:gridCol w:w="3838"/>
      </w:tblGrid>
      <w:tr>
        <w:trPr>
          <w:tblHeader/>
        </w:trPr>
        <w:tc>
          <w:tcPr>
            <w:tcW w:type="dxa" w:w="2000"/>
            <w:shd w:fill="EEF0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2D39B9"/>
                <w:sz w:val="19"/>
                <w:szCs w:val="19"/>
              </w:rPr>
              <w:t xml:space="preserve">Passo</w:t>
            </w:r>
          </w:p>
        </w:tc>
        <w:tc>
          <w:tcPr>
            <w:tcW w:type="dxa" w:w="3800"/>
            <w:shd w:fill="EEF0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2D39B9"/>
                <w:sz w:val="19"/>
                <w:szCs w:val="19"/>
              </w:rPr>
              <w:t xml:space="preserve">Pergunta</w:t>
            </w:r>
          </w:p>
        </w:tc>
        <w:tc>
          <w:tcPr>
            <w:tcW w:type="dxa" w:w="3838"/>
            <w:shd w:fill="EEF0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2D39B9"/>
                <w:sz w:val="19"/>
                <w:szCs w:val="19"/>
              </w:rPr>
              <w:t xml:space="preserve">Tipo / opções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Óbito e conexões</w:t>
            </w:r>
          </w:p>
        </w:tc>
        <w:tc>
          <w:tcPr>
            <w:tcW w:type="dxa" w:w="38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Onde ocorreu o óbito?</w:t>
            </w:r>
          </w:p>
        </w:tc>
        <w:tc>
          <w:tcPr>
            <w:tcW w:type="dxa" w:w="38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Portugal / Estrangeiro</w:t>
            </w:r>
          </w:p>
        </w:tc>
      </w:tr>
      <w:tr>
        <w:trPr>
          <w:cantSplit/>
        </w:trPr>
        <w:tc>
          <w:tcPr>
            <w:tcW w:type="dxa" w:w="20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Óbito e conexões</w:t>
            </w:r>
          </w:p>
        </w:tc>
        <w:tc>
          <w:tcPr>
            <w:tcW w:type="dxa" w:w="38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Em que país?</w:t>
            </w:r>
          </w:p>
        </w:tc>
        <w:tc>
          <w:tcPr>
            <w:tcW w:type="dxa" w:w="3838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country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Óbito e conexões</w:t>
            </w:r>
          </w:p>
        </w:tc>
        <w:tc>
          <w:tcPr>
            <w:tcW w:type="dxa" w:w="38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Nacionalidade do de cujus?</w:t>
            </w:r>
          </w:p>
        </w:tc>
        <w:tc>
          <w:tcPr>
            <w:tcW w:type="dxa" w:w="38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Portuguesa / Francesa / Outra (UE) / Outra (fora da UE)</w:t>
            </w:r>
          </w:p>
        </w:tc>
      </w:tr>
      <w:tr>
        <w:trPr>
          <w:cantSplit/>
        </w:trPr>
        <w:tc>
          <w:tcPr>
            <w:tcW w:type="dxa" w:w="20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Óbito e conexões</w:t>
            </w:r>
          </w:p>
        </w:tc>
        <w:tc>
          <w:tcPr>
            <w:tcW w:type="dxa" w:w="38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Residência habitual à data do óbito?</w:t>
            </w:r>
          </w:p>
        </w:tc>
        <w:tc>
          <w:tcPr>
            <w:tcW w:type="dxa" w:w="3838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Portugal / França / Outro país da UE / Fora da UE / Desconhecida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Família</w:t>
            </w:r>
          </w:p>
        </w:tc>
        <w:tc>
          <w:tcPr>
            <w:tcW w:type="dxa" w:w="38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Havia cônjuge ou unido de facto?</w:t>
            </w:r>
          </w:p>
        </w:tc>
        <w:tc>
          <w:tcPr>
            <w:tcW w:type="dxa" w:w="38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Cônjuge / União de facto / Não / Desconhecido</w:t>
            </w:r>
          </w:p>
        </w:tc>
      </w:tr>
      <w:tr>
        <w:trPr>
          <w:cantSplit/>
        </w:trPr>
        <w:tc>
          <w:tcPr>
            <w:tcW w:type="dxa" w:w="20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Família</w:t>
            </w:r>
          </w:p>
        </w:tc>
        <w:tc>
          <w:tcPr>
            <w:tcW w:type="dxa" w:w="38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Regime de bens do casamento?</w:t>
            </w:r>
          </w:p>
        </w:tc>
        <w:tc>
          <w:tcPr>
            <w:tcW w:type="dxa" w:w="3838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Comunhão de adquiridos / Comunhão geral / Separação de bens / Desconhecido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Família</w:t>
            </w:r>
          </w:p>
        </w:tc>
        <w:tc>
          <w:tcPr>
            <w:tcW w:type="dxa" w:w="38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Havia separação de pessoas e bens ou divórcio pendente?</w:t>
            </w:r>
          </w:p>
        </w:tc>
        <w:tc>
          <w:tcPr>
            <w:tcW w:type="dxa" w:w="38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Sim / Não / Desconhecido</w:t>
            </w:r>
          </w:p>
        </w:tc>
      </w:tr>
      <w:tr>
        <w:trPr>
          <w:cantSplit/>
        </w:trPr>
        <w:tc>
          <w:tcPr>
            <w:tcW w:type="dxa" w:w="20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Família</w:t>
            </w:r>
          </w:p>
        </w:tc>
        <w:tc>
          <w:tcPr>
            <w:tcW w:type="dxa" w:w="38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Havia descendentes?</w:t>
            </w:r>
          </w:p>
        </w:tc>
        <w:tc>
          <w:tcPr>
            <w:tcW w:type="dxa" w:w="3838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Sim / Não / Desconhecido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Família</w:t>
            </w:r>
          </w:p>
        </w:tc>
        <w:tc>
          <w:tcPr>
            <w:tcW w:type="dxa" w:w="38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Quantos filhos (incluindo pré-falecidos)?</w:t>
            </w:r>
          </w:p>
        </w:tc>
        <w:tc>
          <w:tcPr>
            <w:tcW w:type="dxa" w:w="38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number</w:t>
            </w:r>
          </w:p>
        </w:tc>
      </w:tr>
      <w:tr>
        <w:trPr>
          <w:cantSplit/>
        </w:trPr>
        <w:tc>
          <w:tcPr>
            <w:tcW w:type="dxa" w:w="20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Família</w:t>
            </w:r>
          </w:p>
        </w:tc>
        <w:tc>
          <w:tcPr>
            <w:tcW w:type="dxa" w:w="38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Algum filho faleceu antes, deixando descendentes?</w:t>
            </w:r>
          </w:p>
        </w:tc>
        <w:tc>
          <w:tcPr>
            <w:tcW w:type="dxa" w:w="3838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Sim / Não / Desconhecido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Família</w:t>
            </w:r>
          </w:p>
        </w:tc>
        <w:tc>
          <w:tcPr>
            <w:tcW w:type="dxa" w:w="38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Havia ascendentes vivos (pais, avós)?</w:t>
            </w:r>
          </w:p>
        </w:tc>
        <w:tc>
          <w:tcPr>
            <w:tcW w:type="dxa" w:w="38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Sim / Não / Desconhecido</w:t>
            </w:r>
          </w:p>
        </w:tc>
      </w:tr>
      <w:tr>
        <w:trPr>
          <w:cantSplit/>
        </w:trPr>
        <w:tc>
          <w:tcPr>
            <w:tcW w:type="dxa" w:w="20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Família</w:t>
            </w:r>
          </w:p>
        </w:tc>
        <w:tc>
          <w:tcPr>
            <w:tcW w:type="dxa" w:w="38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Havia irmãos ou sobrinhos?</w:t>
            </w:r>
          </w:p>
        </w:tc>
        <w:tc>
          <w:tcPr>
            <w:tcW w:type="dxa" w:w="3838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Sim / Não / Desconhecido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Família</w:t>
            </w:r>
          </w:p>
        </w:tc>
        <w:tc>
          <w:tcPr>
            <w:tcW w:type="dxa" w:w="38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Há menores ou maiores acompanhados entre os interessados?</w:t>
            </w:r>
          </w:p>
        </w:tc>
        <w:tc>
          <w:tcPr>
            <w:tcW w:type="dxa" w:w="38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Sim / Não / Desconhecido</w:t>
            </w:r>
          </w:p>
        </w:tc>
      </w:tr>
      <w:tr>
        <w:trPr>
          <w:cantSplit/>
        </w:trPr>
        <w:tc>
          <w:tcPr>
            <w:tcW w:type="dxa" w:w="20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Família</w:t>
            </w:r>
          </w:p>
        </w:tc>
        <w:tc>
          <w:tcPr>
            <w:tcW w:type="dxa" w:w="38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Há herdeiros a residir no estrangeiro?</w:t>
            </w:r>
          </w:p>
        </w:tc>
        <w:tc>
          <w:tcPr>
            <w:tcW w:type="dxa" w:w="3838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Sim / Não / Desconhecido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Família</w:t>
            </w:r>
          </w:p>
        </w:tc>
        <w:tc>
          <w:tcPr>
            <w:tcW w:type="dxa" w:w="38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Há herdeiros de paradeiro desconhecido?</w:t>
            </w:r>
          </w:p>
        </w:tc>
        <w:tc>
          <w:tcPr>
            <w:tcW w:type="dxa" w:w="38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Sim / Não / Desconhecido</w:t>
            </w:r>
          </w:p>
        </w:tc>
      </w:tr>
      <w:tr>
        <w:trPr>
          <w:cantSplit/>
        </w:trPr>
        <w:tc>
          <w:tcPr>
            <w:tcW w:type="dxa" w:w="20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Família</w:t>
            </w:r>
          </w:p>
        </w:tc>
        <w:tc>
          <w:tcPr>
            <w:tcW w:type="dxa" w:w="38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Outros interessados na sucessão?</w:t>
            </w:r>
          </w:p>
        </w:tc>
        <w:tc>
          <w:tcPr>
            <w:tcW w:type="dxa" w:w="3838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Sim / Não / A confirmar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Disposições</w:t>
            </w:r>
          </w:p>
        </w:tc>
        <w:tc>
          <w:tcPr>
            <w:tcW w:type="dxa" w:w="38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Há testamento?</w:t>
            </w:r>
          </w:p>
        </w:tc>
        <w:tc>
          <w:tcPr>
            <w:tcW w:type="dxa" w:w="38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Sim / Não / Desconhecido</w:t>
            </w:r>
          </w:p>
        </w:tc>
      </w:tr>
      <w:tr>
        <w:trPr>
          <w:cantSplit/>
        </w:trPr>
        <w:tc>
          <w:tcPr>
            <w:tcW w:type="dxa" w:w="20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Disposições</w:t>
            </w:r>
          </w:p>
        </w:tc>
        <w:tc>
          <w:tcPr>
            <w:tcW w:type="dxa" w:w="38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Houve doações em vida a herdeiros?</w:t>
            </w:r>
          </w:p>
        </w:tc>
        <w:tc>
          <w:tcPr>
            <w:tcW w:type="dxa" w:w="3838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Sim / Não / Desconhecido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Disposições</w:t>
            </w:r>
          </w:p>
        </w:tc>
        <w:tc>
          <w:tcPr>
            <w:tcW w:type="dxa" w:w="38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Seguros de vida ou PPR com beneficiários designados?</w:t>
            </w:r>
          </w:p>
        </w:tc>
        <w:tc>
          <w:tcPr>
            <w:tcW w:type="dxa" w:w="38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Sim / Não / Desconhecido</w:t>
            </w:r>
          </w:p>
        </w:tc>
      </w:tr>
      <w:tr>
        <w:trPr>
          <w:cantSplit/>
        </w:trPr>
        <w:tc>
          <w:tcPr>
            <w:tcW w:type="dxa" w:w="20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Disposições</w:t>
            </w:r>
          </w:p>
        </w:tc>
        <w:tc>
          <w:tcPr>
            <w:tcW w:type="dxa" w:w="38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Habilitação de herdeiros</w:t>
            </w:r>
          </w:p>
        </w:tc>
        <w:tc>
          <w:tcPr>
            <w:tcW w:type="dxa" w:w="3838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Necessária / Não necessária / A confirmar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Património e passivo</w:t>
            </w:r>
          </w:p>
        </w:tc>
        <w:tc>
          <w:tcPr>
            <w:tcW w:type="dxa" w:w="38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Que património é conhecido?</w:t>
            </w:r>
          </w:p>
        </w:tc>
        <w:tc>
          <w:tcPr>
            <w:tcW w:type="dxa" w:w="38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Escolha múltipla: Imóveis, Contas bancárias, Participações sociais, Veículos, Certificados de Aforro / Tesouro, Património no estrangeiro, Outro, Ainda não sabemos</w:t>
            </w:r>
          </w:p>
        </w:tc>
      </w:tr>
      <w:tr>
        <w:trPr>
          <w:cantSplit/>
        </w:trPr>
        <w:tc>
          <w:tcPr>
            <w:tcW w:type="dxa" w:w="20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Património e passivo</w:t>
            </w:r>
          </w:p>
        </w:tc>
        <w:tc>
          <w:tcPr>
            <w:tcW w:type="dxa" w:w="38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Em que países há património?</w:t>
            </w:r>
          </w:p>
        </w:tc>
        <w:tc>
          <w:tcPr>
            <w:tcW w:type="dxa" w:w="3838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countries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Património e passivo</w:t>
            </w:r>
          </w:p>
        </w:tc>
        <w:tc>
          <w:tcPr>
            <w:tcW w:type="dxa" w:w="38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A casa de morada de família integra a herança?</w:t>
            </w:r>
          </w:p>
        </w:tc>
        <w:tc>
          <w:tcPr>
            <w:tcW w:type="dxa" w:w="38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Sim / Não / Desconhecido</w:t>
            </w:r>
          </w:p>
        </w:tc>
      </w:tr>
      <w:tr>
        <w:trPr>
          <w:cantSplit/>
        </w:trPr>
        <w:tc>
          <w:tcPr>
            <w:tcW w:type="dxa" w:w="20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Património e passivo</w:t>
            </w:r>
          </w:p>
        </w:tc>
        <w:tc>
          <w:tcPr>
            <w:tcW w:type="dxa" w:w="38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Passivo</w:t>
            </w:r>
          </w:p>
        </w:tc>
        <w:tc>
          <w:tcPr>
            <w:tcW w:type="dxa" w:w="3838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Sim / Não / A confirmar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Património e passivo</w:t>
            </w:r>
          </w:p>
        </w:tc>
        <w:tc>
          <w:tcPr>
            <w:tcW w:type="dxa" w:w="38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O passivo pode superar o ativo?</w:t>
            </w:r>
          </w:p>
        </w:tc>
        <w:tc>
          <w:tcPr>
            <w:tcW w:type="dxa" w:w="38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Sim / Não / Desconhecido</w:t>
            </w:r>
          </w:p>
        </w:tc>
      </w:tr>
      <w:tr>
        <w:trPr>
          <w:cantSplit/>
        </w:trPr>
        <w:tc>
          <w:tcPr>
            <w:tcW w:type="dxa" w:w="20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Património e passivo</w:t>
            </w:r>
          </w:p>
        </w:tc>
        <w:tc>
          <w:tcPr>
            <w:tcW w:type="dxa" w:w="38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Há prestações por morte a requerer (subsídio por morte, pensão de sobrevivência)?</w:t>
            </w:r>
          </w:p>
        </w:tc>
        <w:tc>
          <w:tcPr>
            <w:tcW w:type="dxa" w:w="3838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Sim / Não / Desconhecido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Partilha</w:t>
            </w:r>
          </w:p>
        </w:tc>
        <w:tc>
          <w:tcPr>
            <w:tcW w:type="dxa" w:w="38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Perspetiva atual da partilha?</w:t>
            </w:r>
          </w:p>
        </w:tc>
        <w:tc>
          <w:tcPr>
            <w:tcW w:type="dxa" w:w="38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Acordo alcançado / Boas perspetivas de acordo / Acordo em negociação / Sem acordo / conflito / Ainda não determinado</w:t>
            </w:r>
          </w:p>
        </w:tc>
      </w:tr>
    </w:tbl>
    <w:p>
      <w:pPr>
        <w:pStyle w:val="Heading1"/>
        <w:pageBreakBefore/>
      </w:pPr>
      <w:r>
        <w:t xml:space="preserve">Anexo C — Catálogo de tarefas geradas</w:t>
      </w:r>
    </w:p>
    <w:p>
      <w:pPr>
        <w:spacing w:after="120" w:line="276"/>
      </w:pPr>
      <w:r>
        <w:t xml:space="preserve">As 55 regras do motor podem gerar as 72 tarefas seguintes, agrupadas por fase. «Crítica» assinala as tarefas que bloqueiam o dossier enquanto não forem iniciadas. As referências legais são de apoio e devem ser validadas pela equipa.</w:t>
      </w:r>
    </w:p>
    <w:p>
      <w:pPr>
        <w:pStyle w:val="Heading2"/>
      </w:pPr>
      <w:r>
        <w:t xml:space="preserve">Abertura (7)</w:t>
      </w:r>
    </w:p>
    <w:tbl>
      <w:tblPr>
        <w:tblW w:type="dxa" w:w="9638"/>
        <w:tblBorders>
          <w:top w:val="single" w:color="D9DCE8" w:sz="4"/>
          <w:left w:val="single" w:color="D9DCE8" w:sz="4"/>
          <w:bottom w:val="single" w:color="D9DCE8" w:sz="4"/>
          <w:right w:val="single" w:color="D9DCE8" w:sz="4"/>
          <w:insideH w:val="single" w:color="D9DCE8" w:sz="4"/>
          <w:insideV w:val="single" w:color="D9DCE8" w:sz="4"/>
        </w:tblBorders>
      </w:tblPr>
      <w:tblGrid>
        <w:gridCol w:w="3500"/>
        <w:gridCol w:w="2900"/>
        <w:gridCol w:w="3238"/>
      </w:tblGrid>
      <w:tr>
        <w:trPr>
          <w:tblHeader/>
        </w:trPr>
        <w:tc>
          <w:tcPr>
            <w:tcW w:type="dxa" w:w="3500"/>
            <w:shd w:fill="EEF0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2D39B9"/>
                <w:sz w:val="19"/>
                <w:szCs w:val="19"/>
              </w:rPr>
              <w:t xml:space="preserve">Tarefa (★ crítica)</w:t>
            </w:r>
          </w:p>
        </w:tc>
        <w:tc>
          <w:tcPr>
            <w:tcW w:type="dxa" w:w="2900"/>
            <w:shd w:fill="EEF0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2D39B9"/>
                <w:sz w:val="19"/>
                <w:szCs w:val="19"/>
              </w:rPr>
              <w:t xml:space="preserve">Gerada quando</w:t>
            </w:r>
          </w:p>
        </w:tc>
        <w:tc>
          <w:tcPr>
            <w:tcW w:type="dxa" w:w="3238"/>
            <w:shd w:fill="EEF0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2D39B9"/>
                <w:sz w:val="19"/>
                <w:szCs w:val="19"/>
              </w:rPr>
              <w:t xml:space="preserve">Referências e prazo</w:t>
            </w:r>
          </w:p>
        </w:tc>
      </w:tr>
      <w:tr>
        <w:trPr>
          <w:cantSplit/>
        </w:trPr>
        <w:tc>
          <w:tcPr>
            <w:tcW w:type="dxa" w:w="35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Obter certidão de óbito e confirmar dados do óbito  ★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Tarefa de base de qualquer sucessão</w:t>
            </w:r>
          </w:p>
        </w:tc>
        <w:tc>
          <w:tcPr>
            <w:tcW w:type="dxa" w:w="3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Código Civil, art. 2031.º</w:t>
            </w:r>
          </w:p>
        </w:tc>
      </w:tr>
      <w:tr>
        <w:trPr>
          <w:cantSplit/>
        </w:trPr>
        <w:tc>
          <w:tcPr>
            <w:tcW w:type="dxa" w:w="35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Preparar procuração forense — pontapé de saída do dossier  ★</w:t>
            </w:r>
          </w:p>
        </w:tc>
        <w:tc>
          <w:tcPr>
            <w:tcW w:type="dxa" w:w="29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Tarefa de base de qualquer sucessão</w:t>
            </w:r>
          </w:p>
        </w:tc>
        <w:tc>
          <w:tcPr>
            <w:tcW w:type="dxa" w:w="3238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</w:p>
        </w:tc>
      </w:tr>
      <w:tr>
        <w:trPr>
          <w:cantSplit/>
        </w:trPr>
        <w:tc>
          <w:tcPr>
            <w:tcW w:type="dxa" w:w="35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Verificar conflito de interesses e identificar o cliente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Tarefa de base de qualquer sucessão</w:t>
            </w:r>
          </w:p>
        </w:tc>
        <w:tc>
          <w:tcPr>
            <w:tcW w:type="dxa" w:w="3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Lei n.º 83/2017 (prevenção do branqueamento de capitais)</w:t>
            </w:r>
          </w:p>
        </w:tc>
      </w:tr>
      <w:tr>
        <w:trPr>
          <w:cantSplit/>
        </w:trPr>
        <w:tc>
          <w:tcPr>
            <w:tcW w:type="dxa" w:w="35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Identificar o cabeça-de-casal  ★</w:t>
            </w:r>
          </w:p>
        </w:tc>
        <w:tc>
          <w:tcPr>
            <w:tcW w:type="dxa" w:w="29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Tarefa de base de qualquer sucessão</w:t>
            </w:r>
          </w:p>
        </w:tc>
        <w:tc>
          <w:tcPr>
            <w:tcW w:type="dxa" w:w="3238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Código Civil, arts. 2079.º e 2080.º</w:t>
            </w:r>
          </w:p>
        </w:tc>
      </w:tr>
      <w:tr>
        <w:trPr>
          <w:cantSplit/>
        </w:trPr>
        <w:tc>
          <w:tcPr>
            <w:tcW w:type="dxa" w:w="35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Enviar ao cliente as condições de serviço e a lista inicial de documentos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Tarefa de base de qualquer sucessão</w:t>
            </w:r>
          </w:p>
        </w:tc>
        <w:tc>
          <w:tcPr>
            <w:tcW w:type="dxa" w:w="3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</w:p>
        </w:tc>
      </w:tr>
      <w:tr>
        <w:trPr>
          <w:cantSplit/>
        </w:trPr>
        <w:tc>
          <w:tcPr>
            <w:tcW w:type="dxa" w:w="35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Verificar registo/transcrição do óbito em Portugal  ★</w:t>
            </w:r>
          </w:p>
        </w:tc>
        <w:tc>
          <w:tcPr>
            <w:tcW w:type="dxa" w:w="29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Óbito no estrangeiro de cidadão português</w:t>
            </w:r>
          </w:p>
        </w:tc>
        <w:tc>
          <w:tcPr>
            <w:tcW w:type="dxa" w:w="3238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Código do Registo Civil (transcrição de atos lavrados no estrangeiro)</w:t>
            </w:r>
          </w:p>
        </w:tc>
      </w:tr>
      <w:tr>
        <w:trPr>
          <w:cantSplit/>
        </w:trPr>
        <w:tc>
          <w:tcPr>
            <w:tcW w:type="dxa" w:w="35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Requerer prestações por morte à Segurança Social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Prestações por morte por confirmar</w:t>
            </w:r>
          </w:p>
        </w:tc>
        <w:tc>
          <w:tcPr>
            <w:tcW w:type="dxa" w:w="3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Decreto-Lei n.º 322/90 (prestações por morte)</w:t>
            </w:r>
          </w:p>
        </w:tc>
      </w:tr>
    </w:tbl>
    <w:p>
      <w:pPr>
        <w:pStyle w:val="Heading2"/>
      </w:pPr>
      <w:r>
        <w:t xml:space="preserve">Interessados (17)</w:t>
      </w:r>
    </w:p>
    <w:tbl>
      <w:tblPr>
        <w:tblW w:type="dxa" w:w="9638"/>
        <w:tblBorders>
          <w:top w:val="single" w:color="D9DCE8" w:sz="4"/>
          <w:left w:val="single" w:color="D9DCE8" w:sz="4"/>
          <w:bottom w:val="single" w:color="D9DCE8" w:sz="4"/>
          <w:right w:val="single" w:color="D9DCE8" w:sz="4"/>
          <w:insideH w:val="single" w:color="D9DCE8" w:sz="4"/>
          <w:insideV w:val="single" w:color="D9DCE8" w:sz="4"/>
        </w:tblBorders>
      </w:tblPr>
      <w:tblGrid>
        <w:gridCol w:w="3500"/>
        <w:gridCol w:w="2900"/>
        <w:gridCol w:w="3238"/>
      </w:tblGrid>
      <w:tr>
        <w:trPr>
          <w:tblHeader/>
        </w:trPr>
        <w:tc>
          <w:tcPr>
            <w:tcW w:type="dxa" w:w="3500"/>
            <w:shd w:fill="EEF0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2D39B9"/>
                <w:sz w:val="19"/>
                <w:szCs w:val="19"/>
              </w:rPr>
              <w:t xml:space="preserve">Tarefa (★ crítica)</w:t>
            </w:r>
          </w:p>
        </w:tc>
        <w:tc>
          <w:tcPr>
            <w:tcW w:type="dxa" w:w="2900"/>
            <w:shd w:fill="EEF0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2D39B9"/>
                <w:sz w:val="19"/>
                <w:szCs w:val="19"/>
              </w:rPr>
              <w:t xml:space="preserve">Gerada quando</w:t>
            </w:r>
          </w:p>
        </w:tc>
        <w:tc>
          <w:tcPr>
            <w:tcW w:type="dxa" w:w="3238"/>
            <w:shd w:fill="EEF0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2D39B9"/>
                <w:sz w:val="19"/>
                <w:szCs w:val="19"/>
              </w:rPr>
              <w:t xml:space="preserve">Referências e prazo</w:t>
            </w:r>
          </w:p>
        </w:tc>
      </w:tr>
      <w:tr>
        <w:trPr>
          <w:cantSplit/>
        </w:trPr>
        <w:tc>
          <w:tcPr>
            <w:tcW w:type="dxa" w:w="35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Identificar e qualificar todos os interessados  ★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Tarefa de base de qualquer sucessão</w:t>
            </w:r>
          </w:p>
        </w:tc>
        <w:tc>
          <w:tcPr>
            <w:tcW w:type="dxa" w:w="3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Código Civil, arts. 2133.º e 2134.º</w:t>
            </w:r>
          </w:p>
        </w:tc>
      </w:tr>
      <w:tr>
        <w:trPr>
          <w:cantSplit/>
        </w:trPr>
        <w:tc>
          <w:tcPr>
            <w:tcW w:type="dxa" w:w="35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Confirmar a aceitação ou repúdio de cada herdeiro</w:t>
            </w:r>
          </w:p>
        </w:tc>
        <w:tc>
          <w:tcPr>
            <w:tcW w:type="dxa" w:w="29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Tarefa de base de qualquer sucessão</w:t>
            </w:r>
          </w:p>
        </w:tc>
        <w:tc>
          <w:tcPr>
            <w:tcW w:type="dxa" w:w="3238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Código Civil, arts. 2050.º, 2059.º e 2062.º e ss.</w:t>
            </w:r>
          </w:p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Prazo: [object Object]</w:t>
            </w:r>
          </w:p>
        </w:tc>
      </w:tr>
      <w:tr>
        <w:trPr>
          <w:cantSplit/>
        </w:trPr>
        <w:tc>
          <w:tcPr>
            <w:tcW w:type="dxa" w:w="35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Registar cônjuge e confirmar estado civil e regime de bens  ★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Havia cônjuge</w:t>
            </w:r>
          </w:p>
        </w:tc>
        <w:tc>
          <w:tcPr>
            <w:tcW w:type="dxa" w:w="3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Código Civil, arts. 1717.º e ss.; Código Civil, art. 2133.º, n.º 3</w:t>
            </w:r>
          </w:p>
        </w:tc>
      </w:tr>
      <w:tr>
        <w:trPr>
          <w:cantSplit/>
        </w:trPr>
        <w:tc>
          <w:tcPr>
            <w:tcW w:type="dxa" w:w="35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Documentar a união de facto e os direitos do unido de facto  ★</w:t>
            </w:r>
          </w:p>
        </w:tc>
        <w:tc>
          <w:tcPr>
            <w:tcW w:type="dxa" w:w="29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Havia união de facto</w:t>
            </w:r>
          </w:p>
        </w:tc>
        <w:tc>
          <w:tcPr>
            <w:tcW w:type="dxa" w:w="3238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Lei n.º 7/2001, arts. 1.º e 5.º</w:t>
            </w:r>
          </w:p>
        </w:tc>
      </w:tr>
      <w:tr>
        <w:trPr>
          <w:cantSplit/>
        </w:trPr>
        <w:tc>
          <w:tcPr>
            <w:tcW w:type="dxa" w:w="35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Confirmar o estado civil do de cujus  ★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Estado civil do de cujus desconhecido</w:t>
            </w:r>
          </w:p>
        </w:tc>
        <w:tc>
          <w:tcPr>
            <w:tcW w:type="dxa" w:w="3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</w:p>
        </w:tc>
      </w:tr>
      <w:tr>
        <w:trPr>
          <w:cantSplit/>
        </w:trPr>
        <w:tc>
          <w:tcPr>
            <w:tcW w:type="dxa" w:w="35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Identificar cada descendente e recolher documentação  ★</w:t>
            </w:r>
          </w:p>
        </w:tc>
        <w:tc>
          <w:tcPr>
            <w:tcW w:type="dxa" w:w="29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Havia descendentes</w:t>
            </w:r>
          </w:p>
        </w:tc>
        <w:tc>
          <w:tcPr>
            <w:tcW w:type="dxa" w:w="3238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Código Civil, arts. 2133.º, n.º 1, al. a), e 2139.º</w:t>
            </w:r>
          </w:p>
        </w:tc>
      </w:tr>
      <w:tr>
        <w:trPr>
          <w:cantSplit/>
        </w:trPr>
        <w:tc>
          <w:tcPr>
            <w:tcW w:type="dxa" w:w="35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Confirmar a existência de descendentes  ★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Existência de descendentes por confirmar</w:t>
            </w:r>
          </w:p>
        </w:tc>
        <w:tc>
          <w:tcPr>
            <w:tcW w:type="dxa" w:w="3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</w:p>
        </w:tc>
      </w:tr>
      <w:tr>
        <w:trPr>
          <w:cantSplit/>
        </w:trPr>
        <w:tc>
          <w:tcPr>
            <w:tcW w:type="dxa" w:w="35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Identificar os descendentes de filhos pré-falecidos (direito de representação)  ★</w:t>
            </w:r>
          </w:p>
        </w:tc>
        <w:tc>
          <w:tcPr>
            <w:tcW w:type="dxa" w:w="29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Filho pré-falecido com descendentes</w:t>
            </w:r>
          </w:p>
        </w:tc>
        <w:tc>
          <w:tcPr>
            <w:tcW w:type="dxa" w:w="3238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Código Civil, arts. 2039.º, 2042.º e 2044.º</w:t>
            </w:r>
          </w:p>
        </w:tc>
      </w:tr>
      <w:tr>
        <w:trPr>
          <w:cantSplit/>
        </w:trPr>
        <w:tc>
          <w:tcPr>
            <w:tcW w:type="dxa" w:w="35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Identificar ascendentes e recolher documentação  ★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Sem descendentes e com ascendentes vivos</w:t>
            </w:r>
          </w:p>
        </w:tc>
        <w:tc>
          <w:tcPr>
            <w:tcW w:type="dxa" w:w="3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Código Civil, arts. 2133.º, n.º 1, al. b), 2142.º</w:t>
            </w:r>
          </w:p>
        </w:tc>
      </w:tr>
      <w:tr>
        <w:trPr>
          <w:cantSplit/>
        </w:trPr>
        <w:tc>
          <w:tcPr>
            <w:tcW w:type="dxa" w:w="35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Confirmar se há ascendentes vivos  ★</w:t>
            </w:r>
          </w:p>
        </w:tc>
        <w:tc>
          <w:tcPr>
            <w:tcW w:type="dxa" w:w="29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Ascendentes por confirmar</w:t>
            </w:r>
          </w:p>
        </w:tc>
        <w:tc>
          <w:tcPr>
            <w:tcW w:type="dxa" w:w="3238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</w:p>
        </w:tc>
      </w:tr>
      <w:tr>
        <w:trPr>
          <w:cantSplit/>
        </w:trPr>
        <w:tc>
          <w:tcPr>
            <w:tcW w:type="dxa" w:w="35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Identificar irmãos, sobrinhos e outros colaterais  ★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Sem cônjuge, descendentes nem ascendentes</w:t>
            </w:r>
          </w:p>
        </w:tc>
        <w:tc>
          <w:tcPr>
            <w:tcW w:type="dxa" w:w="3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Código Civil, arts. 2145.º a 2147.º</w:t>
            </w:r>
          </w:p>
        </w:tc>
      </w:tr>
      <w:tr>
        <w:trPr>
          <w:cantSplit/>
        </w:trPr>
        <w:tc>
          <w:tcPr>
            <w:tcW w:type="dxa" w:w="35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Pesquisar outros colaterais até ao 4.º grau (na falta, sucessão do Estado)  ★</w:t>
            </w:r>
          </w:p>
        </w:tc>
        <w:tc>
          <w:tcPr>
            <w:tcW w:type="dxa" w:w="29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Sem cônjuge, descendentes, ascendentes nem irmãos</w:t>
            </w:r>
          </w:p>
        </w:tc>
        <w:tc>
          <w:tcPr>
            <w:tcW w:type="dxa" w:w="3238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Código Civil, arts. 2147.º e 2152.º</w:t>
            </w:r>
          </w:p>
        </w:tc>
      </w:tr>
      <w:tr>
        <w:trPr>
          <w:cantSplit/>
        </w:trPr>
        <w:tc>
          <w:tcPr>
            <w:tcW w:type="dxa" w:w="35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Assegurar a representação de menores/maiores acompanhados  ★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Há menores ou maiores acompanhados</w:t>
            </w:r>
          </w:p>
        </w:tc>
        <w:tc>
          <w:tcPr>
            <w:tcW w:type="dxa" w:w="3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Código Civil, art. 1881.º, n.º 2; Código Civil, arts. 138.º e ss. (maior acompanhado)</w:t>
            </w:r>
          </w:p>
        </w:tc>
      </w:tr>
      <w:tr>
        <w:trPr>
          <w:cantSplit/>
        </w:trPr>
        <w:tc>
          <w:tcPr>
            <w:tcW w:type="dxa" w:w="35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Identificar e registar outros interessados na sucessão</w:t>
            </w:r>
          </w:p>
        </w:tc>
        <w:tc>
          <w:tcPr>
            <w:tcW w:type="dxa" w:w="29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Outros interessados por confirmar</w:t>
            </w:r>
          </w:p>
        </w:tc>
        <w:tc>
          <w:tcPr>
            <w:tcW w:type="dxa" w:w="3238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</w:p>
        </w:tc>
      </w:tr>
      <w:tr>
        <w:trPr>
          <w:cantSplit/>
        </w:trPr>
        <w:tc>
          <w:tcPr>
            <w:tcW w:type="dxa" w:w="35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Confirmar os efeitos da separação ou do divórcio pendente na qualidade sucessória do cônjuge  ★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Separação de pessoas e bens ou divórcio pendente</w:t>
            </w:r>
          </w:p>
        </w:tc>
        <w:tc>
          <w:tcPr>
            <w:tcW w:type="dxa" w:w="3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Código Civil, art. 2133.º, n.º 3; Código Civil, art. 1785.º, n.º 3; Código Civil, art. 1795.º-A</w:t>
            </w:r>
          </w:p>
        </w:tc>
      </w:tr>
      <w:tr>
        <w:trPr>
          <w:cantSplit/>
        </w:trPr>
        <w:tc>
          <w:tcPr>
            <w:tcW w:type="dxa" w:w="35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Obter procurações e documentos dos herdeiros residentes no estrangeiro</w:t>
            </w:r>
          </w:p>
        </w:tc>
        <w:tc>
          <w:tcPr>
            <w:tcW w:type="dxa" w:w="29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Há herdeiros a residir no estrangeiro</w:t>
            </w:r>
          </w:p>
        </w:tc>
        <w:tc>
          <w:tcPr>
            <w:tcW w:type="dxa" w:w="3238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Convenção da Haia de 5 de outubro de 1961 (apostila); Regulamento (UE) 2016/1191; Código do Notariado, art. 172.º</w:t>
            </w:r>
          </w:p>
        </w:tc>
      </w:tr>
      <w:tr>
        <w:trPr>
          <w:cantSplit/>
        </w:trPr>
        <w:tc>
          <w:tcPr>
            <w:tcW w:type="dxa" w:w="35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Diligenciar a localização dos herdeiros de paradeiro desconhecido  ★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Há herdeiros de paradeiro desconhecido</w:t>
            </w:r>
          </w:p>
        </w:tc>
        <w:tc>
          <w:tcPr>
            <w:tcW w:type="dxa" w:w="3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Código Civil, arts. 89.º e ss. (curadoria provisória); Código de Processo Civil, arts. 225.º e 240.º (citação edital)</w:t>
            </w:r>
          </w:p>
        </w:tc>
      </w:tr>
    </w:tbl>
    <w:p>
      <w:pPr>
        <w:pStyle w:val="Heading2"/>
      </w:pPr>
      <w:r>
        <w:t xml:space="preserve">Testamento (5)</w:t>
      </w:r>
    </w:p>
    <w:tbl>
      <w:tblPr>
        <w:tblW w:type="dxa" w:w="9638"/>
        <w:tblBorders>
          <w:top w:val="single" w:color="D9DCE8" w:sz="4"/>
          <w:left w:val="single" w:color="D9DCE8" w:sz="4"/>
          <w:bottom w:val="single" w:color="D9DCE8" w:sz="4"/>
          <w:right w:val="single" w:color="D9DCE8" w:sz="4"/>
          <w:insideH w:val="single" w:color="D9DCE8" w:sz="4"/>
          <w:insideV w:val="single" w:color="D9DCE8" w:sz="4"/>
        </w:tblBorders>
      </w:tblPr>
      <w:tblGrid>
        <w:gridCol w:w="3500"/>
        <w:gridCol w:w="2900"/>
        <w:gridCol w:w="3238"/>
      </w:tblGrid>
      <w:tr>
        <w:trPr>
          <w:tblHeader/>
        </w:trPr>
        <w:tc>
          <w:tcPr>
            <w:tcW w:type="dxa" w:w="3500"/>
            <w:shd w:fill="EEF0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2D39B9"/>
                <w:sz w:val="19"/>
                <w:szCs w:val="19"/>
              </w:rPr>
              <w:t xml:space="preserve">Tarefa (★ crítica)</w:t>
            </w:r>
          </w:p>
        </w:tc>
        <w:tc>
          <w:tcPr>
            <w:tcW w:type="dxa" w:w="2900"/>
            <w:shd w:fill="EEF0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2D39B9"/>
                <w:sz w:val="19"/>
                <w:szCs w:val="19"/>
              </w:rPr>
              <w:t xml:space="preserve">Gerada quando</w:t>
            </w:r>
          </w:p>
        </w:tc>
        <w:tc>
          <w:tcPr>
            <w:tcW w:type="dxa" w:w="3238"/>
            <w:shd w:fill="EEF0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2D39B9"/>
                <w:sz w:val="19"/>
                <w:szCs w:val="19"/>
              </w:rPr>
              <w:t xml:space="preserve">Referências e prazo</w:t>
            </w:r>
          </w:p>
        </w:tc>
      </w:tr>
      <w:tr>
        <w:trPr>
          <w:cantSplit/>
        </w:trPr>
        <w:tc>
          <w:tcPr>
            <w:tcW w:type="dxa" w:w="35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Obter e analisar o testamento  ★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Há testamento</w:t>
            </w:r>
          </w:p>
        </w:tc>
        <w:tc>
          <w:tcPr>
            <w:tcW w:type="dxa" w:w="3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Código Civil, arts. 2179.º e ss.</w:t>
            </w:r>
          </w:p>
        </w:tc>
      </w:tr>
      <w:tr>
        <w:trPr>
          <w:cantSplit/>
        </w:trPr>
        <w:tc>
          <w:tcPr>
            <w:tcW w:type="dxa" w:w="35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Verificar o respeito pela legítima</w:t>
            </w:r>
          </w:p>
        </w:tc>
        <w:tc>
          <w:tcPr>
            <w:tcW w:type="dxa" w:w="29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Há testamento</w:t>
            </w:r>
          </w:p>
        </w:tc>
        <w:tc>
          <w:tcPr>
            <w:tcW w:type="dxa" w:w="3238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Código Civil, arts. 2156.º a 2178.º</w:t>
            </w:r>
          </w:p>
        </w:tc>
      </w:tr>
      <w:tr>
        <w:trPr>
          <w:cantSplit/>
        </w:trPr>
        <w:tc>
          <w:tcPr>
            <w:tcW w:type="dxa" w:w="35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Pesquisar existência de testamento  ★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Existência de testamento desconhecida</w:t>
            </w:r>
          </w:p>
        </w:tc>
        <w:tc>
          <w:tcPr>
            <w:tcW w:type="dxa" w:w="3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</w:p>
        </w:tc>
      </w:tr>
      <w:tr>
        <w:trPr>
          <w:cantSplit/>
        </w:trPr>
        <w:tc>
          <w:tcPr>
            <w:tcW w:type="dxa" w:w="35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Consultar o registo francês de disposições de última vontade (FCDDV)</w:t>
            </w:r>
          </w:p>
        </w:tc>
        <w:tc>
          <w:tcPr>
            <w:tcW w:type="dxa" w:w="29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Testamento por localizar e ligação a França</w:t>
            </w:r>
          </w:p>
        </w:tc>
        <w:tc>
          <w:tcPr>
            <w:tcW w:type="dxa" w:w="3238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</w:p>
        </w:tc>
      </w:tr>
      <w:tr>
        <w:trPr>
          <w:cantSplit/>
        </w:trPr>
        <w:tc>
          <w:tcPr>
            <w:tcW w:type="dxa" w:w="35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Apurar doações em vida e sujeição a colação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Doações em vida por confirmar</w:t>
            </w:r>
          </w:p>
        </w:tc>
        <w:tc>
          <w:tcPr>
            <w:tcW w:type="dxa" w:w="3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Código Civil, arts. 2104.º e ss.; Código Civil, art. 2162.º</w:t>
            </w:r>
          </w:p>
        </w:tc>
      </w:tr>
    </w:tbl>
    <w:p>
      <w:pPr>
        <w:pStyle w:val="Heading2"/>
      </w:pPr>
      <w:r>
        <w:t xml:space="preserve">Habilitação (3)</w:t>
      </w:r>
    </w:p>
    <w:tbl>
      <w:tblPr>
        <w:tblW w:type="dxa" w:w="9638"/>
        <w:tblBorders>
          <w:top w:val="single" w:color="D9DCE8" w:sz="4"/>
          <w:left w:val="single" w:color="D9DCE8" w:sz="4"/>
          <w:bottom w:val="single" w:color="D9DCE8" w:sz="4"/>
          <w:right w:val="single" w:color="D9DCE8" w:sz="4"/>
          <w:insideH w:val="single" w:color="D9DCE8" w:sz="4"/>
          <w:insideV w:val="single" w:color="D9DCE8" w:sz="4"/>
        </w:tblBorders>
      </w:tblPr>
      <w:tblGrid>
        <w:gridCol w:w="3500"/>
        <w:gridCol w:w="2900"/>
        <w:gridCol w:w="3238"/>
      </w:tblGrid>
      <w:tr>
        <w:trPr>
          <w:tblHeader/>
        </w:trPr>
        <w:tc>
          <w:tcPr>
            <w:tcW w:type="dxa" w:w="3500"/>
            <w:shd w:fill="EEF0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2D39B9"/>
                <w:sz w:val="19"/>
                <w:szCs w:val="19"/>
              </w:rPr>
              <w:t xml:space="preserve">Tarefa (★ crítica)</w:t>
            </w:r>
          </w:p>
        </w:tc>
        <w:tc>
          <w:tcPr>
            <w:tcW w:type="dxa" w:w="2900"/>
            <w:shd w:fill="EEF0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2D39B9"/>
                <w:sz w:val="19"/>
                <w:szCs w:val="19"/>
              </w:rPr>
              <w:t xml:space="preserve">Gerada quando</w:t>
            </w:r>
          </w:p>
        </w:tc>
        <w:tc>
          <w:tcPr>
            <w:tcW w:type="dxa" w:w="3238"/>
            <w:shd w:fill="EEF0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2D39B9"/>
                <w:sz w:val="19"/>
                <w:szCs w:val="19"/>
              </w:rPr>
              <w:t xml:space="preserve">Referências e prazo</w:t>
            </w:r>
          </w:p>
        </w:tc>
      </w:tr>
      <w:tr>
        <w:trPr>
          <w:cantSplit/>
        </w:trPr>
        <w:tc>
          <w:tcPr>
            <w:tcW w:type="dxa" w:w="35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Preparar habilitação de herdeiros  ★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Habilitação de herdeiros necessária</w:t>
            </w:r>
          </w:p>
        </w:tc>
        <w:tc>
          <w:tcPr>
            <w:tcW w:type="dxa" w:w="3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Código do Notariado, arts. 82.º e ss.</w:t>
            </w:r>
          </w:p>
        </w:tc>
      </w:tr>
      <w:tr>
        <w:trPr>
          <w:cantSplit/>
        </w:trPr>
        <w:tc>
          <w:tcPr>
            <w:tcW w:type="dxa" w:w="35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Agendar a habilitação e confirmar declarantes</w:t>
            </w:r>
          </w:p>
        </w:tc>
        <w:tc>
          <w:tcPr>
            <w:tcW w:type="dxa" w:w="29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Habilitação de herdeiros necessária</w:t>
            </w:r>
          </w:p>
        </w:tc>
        <w:tc>
          <w:tcPr>
            <w:tcW w:type="dxa" w:w="3238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</w:p>
        </w:tc>
      </w:tr>
      <w:tr>
        <w:trPr>
          <w:cantSplit/>
        </w:trPr>
        <w:tc>
          <w:tcPr>
            <w:tcW w:type="dxa" w:w="35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Avaliar a necessidade de habilitação de herdeiros  ★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Necessidade de habilitação por confirmar</w:t>
            </w:r>
          </w:p>
        </w:tc>
        <w:tc>
          <w:tcPr>
            <w:tcW w:type="dxa" w:w="3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</w:p>
        </w:tc>
      </w:tr>
    </w:tbl>
    <w:p>
      <w:pPr>
        <w:pStyle w:val="Heading2"/>
      </w:pPr>
      <w:r>
        <w:t xml:space="preserve">Internacional (6)</w:t>
      </w:r>
    </w:p>
    <w:tbl>
      <w:tblPr>
        <w:tblW w:type="dxa" w:w="9638"/>
        <w:tblBorders>
          <w:top w:val="single" w:color="D9DCE8" w:sz="4"/>
          <w:left w:val="single" w:color="D9DCE8" w:sz="4"/>
          <w:bottom w:val="single" w:color="D9DCE8" w:sz="4"/>
          <w:right w:val="single" w:color="D9DCE8" w:sz="4"/>
          <w:insideH w:val="single" w:color="D9DCE8" w:sz="4"/>
          <w:insideV w:val="single" w:color="D9DCE8" w:sz="4"/>
        </w:tblBorders>
      </w:tblPr>
      <w:tblGrid>
        <w:gridCol w:w="3500"/>
        <w:gridCol w:w="2900"/>
        <w:gridCol w:w="3238"/>
      </w:tblGrid>
      <w:tr>
        <w:trPr>
          <w:tblHeader/>
        </w:trPr>
        <w:tc>
          <w:tcPr>
            <w:tcW w:type="dxa" w:w="3500"/>
            <w:shd w:fill="EEF0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2D39B9"/>
                <w:sz w:val="19"/>
                <w:szCs w:val="19"/>
              </w:rPr>
              <w:t xml:space="preserve">Tarefa (★ crítica)</w:t>
            </w:r>
          </w:p>
        </w:tc>
        <w:tc>
          <w:tcPr>
            <w:tcW w:type="dxa" w:w="2900"/>
            <w:shd w:fill="EEF0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2D39B9"/>
                <w:sz w:val="19"/>
                <w:szCs w:val="19"/>
              </w:rPr>
              <w:t xml:space="preserve">Gerada quando</w:t>
            </w:r>
          </w:p>
        </w:tc>
        <w:tc>
          <w:tcPr>
            <w:tcW w:type="dxa" w:w="3238"/>
            <w:shd w:fill="EEF0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2D39B9"/>
                <w:sz w:val="19"/>
                <w:szCs w:val="19"/>
              </w:rPr>
              <w:t xml:space="preserve">Referências e prazo</w:t>
            </w:r>
          </w:p>
        </w:tc>
      </w:tr>
      <w:tr>
        <w:trPr>
          <w:cantSplit/>
        </w:trPr>
        <w:tc>
          <w:tcPr>
            <w:tcW w:type="dxa" w:w="35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Abrir frente internacional e identificar intervenientes/entidades  ★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Existem elementos de estraneidade</w:t>
            </w:r>
          </w:p>
        </w:tc>
        <w:tc>
          <w:tcPr>
            <w:tcW w:type="dxa" w:w="3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</w:p>
        </w:tc>
      </w:tr>
      <w:tr>
        <w:trPr>
          <w:cantSplit/>
        </w:trPr>
        <w:tc>
          <w:tcPr>
            <w:tcW w:type="dxa" w:w="35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Determinar a lei aplicável e o tribunal/autoridade competente  ★</w:t>
            </w:r>
          </w:p>
        </w:tc>
        <w:tc>
          <w:tcPr>
            <w:tcW w:type="dxa" w:w="29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Existem elementos de estraneidade</w:t>
            </w:r>
          </w:p>
        </w:tc>
        <w:tc>
          <w:tcPr>
            <w:tcW w:type="dxa" w:w="3238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Regulamento (UE) n.º 650/2012, arts. 4.º, 21.º e 22.º</w:t>
            </w:r>
          </w:p>
        </w:tc>
      </w:tr>
      <w:tr>
        <w:trPr>
          <w:cantSplit/>
        </w:trPr>
        <w:tc>
          <w:tcPr>
            <w:tcW w:type="dxa" w:w="35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Obter documentos estrangeiros com apostila/formulário multilingue e tradução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Existem elementos de estraneidade</w:t>
            </w:r>
          </w:p>
        </w:tc>
        <w:tc>
          <w:tcPr>
            <w:tcW w:type="dxa" w:w="3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Regulamento (UE) 2016/1191; Convenção da Haia de 5 de outubro de 1961</w:t>
            </w:r>
          </w:p>
        </w:tc>
      </w:tr>
      <w:tr>
        <w:trPr>
          <w:cantSplit/>
        </w:trPr>
        <w:tc>
          <w:tcPr>
            <w:tcW w:type="dxa" w:w="35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Avaliar pedido de Certificado Sucessório Europeu</w:t>
            </w:r>
          </w:p>
        </w:tc>
        <w:tc>
          <w:tcPr>
            <w:tcW w:type="dxa" w:w="29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Ligação a outro Estado-Membro da UE</w:t>
            </w:r>
          </w:p>
        </w:tc>
        <w:tc>
          <w:tcPr>
            <w:tcW w:type="dxa" w:w="3238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Regulamento (UE) n.º 650/2012, arts. 62.º a 73.º</w:t>
            </w:r>
          </w:p>
        </w:tc>
      </w:tr>
      <w:tr>
        <w:trPr>
          <w:cantSplit/>
        </w:trPr>
        <w:tc>
          <w:tcPr>
            <w:tcW w:type="dxa" w:w="35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Articular com o notaire em França e preparar a déclaration de succession  ★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Ligação a França</w:t>
            </w:r>
          </w:p>
        </w:tc>
        <w:tc>
          <w:tcPr>
            <w:tcW w:type="dxa" w:w="3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Code général des impôts (França), art. 641</w:t>
            </w:r>
          </w:p>
        </w:tc>
      </w:tr>
      <w:tr>
        <w:trPr>
          <w:cantSplit/>
        </w:trPr>
        <w:tc>
          <w:tcPr>
            <w:tcW w:type="dxa" w:w="35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Avaliar tributação sucessória em França e risco de dupla tributação</w:t>
            </w:r>
          </w:p>
        </w:tc>
        <w:tc>
          <w:tcPr>
            <w:tcW w:type="dxa" w:w="29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Ligação a França</w:t>
            </w:r>
          </w:p>
        </w:tc>
        <w:tc>
          <w:tcPr>
            <w:tcW w:type="dxa" w:w="3238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</w:p>
        </w:tc>
      </w:tr>
    </w:tbl>
    <w:p>
      <w:pPr>
        <w:pStyle w:val="Heading2"/>
      </w:pPr>
      <w:r>
        <w:t xml:space="preserve">Património (14)</w:t>
      </w:r>
    </w:p>
    <w:tbl>
      <w:tblPr>
        <w:tblW w:type="dxa" w:w="9638"/>
        <w:tblBorders>
          <w:top w:val="single" w:color="D9DCE8" w:sz="4"/>
          <w:left w:val="single" w:color="D9DCE8" w:sz="4"/>
          <w:bottom w:val="single" w:color="D9DCE8" w:sz="4"/>
          <w:right w:val="single" w:color="D9DCE8" w:sz="4"/>
          <w:insideH w:val="single" w:color="D9DCE8" w:sz="4"/>
          <w:insideV w:val="single" w:color="D9DCE8" w:sz="4"/>
        </w:tblBorders>
      </w:tblPr>
      <w:tblGrid>
        <w:gridCol w:w="3500"/>
        <w:gridCol w:w="2900"/>
        <w:gridCol w:w="3238"/>
      </w:tblGrid>
      <w:tr>
        <w:trPr>
          <w:tblHeader/>
        </w:trPr>
        <w:tc>
          <w:tcPr>
            <w:tcW w:type="dxa" w:w="3500"/>
            <w:shd w:fill="EEF0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2D39B9"/>
                <w:sz w:val="19"/>
                <w:szCs w:val="19"/>
              </w:rPr>
              <w:t xml:space="preserve">Tarefa (★ crítica)</w:t>
            </w:r>
          </w:p>
        </w:tc>
        <w:tc>
          <w:tcPr>
            <w:tcW w:type="dxa" w:w="2900"/>
            <w:shd w:fill="EEF0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2D39B9"/>
                <w:sz w:val="19"/>
                <w:szCs w:val="19"/>
              </w:rPr>
              <w:t xml:space="preserve">Gerada quando</w:t>
            </w:r>
          </w:p>
        </w:tc>
        <w:tc>
          <w:tcPr>
            <w:tcW w:type="dxa" w:w="3238"/>
            <w:shd w:fill="EEF0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2D39B9"/>
                <w:sz w:val="19"/>
                <w:szCs w:val="19"/>
              </w:rPr>
              <w:t xml:space="preserve">Referências e prazo</w:t>
            </w:r>
          </w:p>
        </w:tc>
      </w:tr>
      <w:tr>
        <w:trPr>
          <w:cantSplit/>
        </w:trPr>
        <w:tc>
          <w:tcPr>
            <w:tcW w:type="dxa" w:w="35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Recolher cadernetas prediais e certidões permanentes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Há imóveis</w:t>
            </w:r>
          </w:p>
        </w:tc>
        <w:tc>
          <w:tcPr>
            <w:tcW w:type="dxa" w:w="3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</w:p>
        </w:tc>
      </w:tr>
      <w:tr>
        <w:trPr>
          <w:cantSplit/>
        </w:trPr>
        <w:tc>
          <w:tcPr>
            <w:tcW w:type="dxa" w:w="35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Identificar bancos e solicitar saldos à data do óbito</w:t>
            </w:r>
          </w:p>
        </w:tc>
        <w:tc>
          <w:tcPr>
            <w:tcW w:type="dxa" w:w="29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Há contas bancárias</w:t>
            </w:r>
          </w:p>
        </w:tc>
        <w:tc>
          <w:tcPr>
            <w:tcW w:type="dxa" w:w="3238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</w:p>
        </w:tc>
      </w:tr>
      <w:tr>
        <w:trPr>
          <w:cantSplit/>
        </w:trPr>
        <w:tc>
          <w:tcPr>
            <w:tcW w:type="dxa" w:w="35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Pesquisar contas na Base de Dados de Contas do Banco de Portugal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Há contas bancárias a confirmar</w:t>
            </w:r>
          </w:p>
        </w:tc>
        <w:tc>
          <w:tcPr>
            <w:tcW w:type="dxa" w:w="3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Banco de Portugal — Base de Dados de Contas</w:t>
            </w:r>
          </w:p>
        </w:tc>
      </w:tr>
      <w:tr>
        <w:trPr>
          <w:cantSplit/>
        </w:trPr>
        <w:tc>
          <w:tcPr>
            <w:tcW w:type="dxa" w:w="35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Pesquisar património: imóveis, veículos, aplicações e seguros  ★</w:t>
            </w:r>
          </w:p>
        </w:tc>
        <w:tc>
          <w:tcPr>
            <w:tcW w:type="dxa" w:w="29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Património ainda por apurar</w:t>
            </w:r>
          </w:p>
        </w:tc>
        <w:tc>
          <w:tcPr>
            <w:tcW w:type="dxa" w:w="3238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</w:p>
        </w:tc>
      </w:tr>
      <w:tr>
        <w:trPr>
          <w:cantSplit/>
        </w:trPr>
        <w:tc>
          <w:tcPr>
            <w:tcW w:type="dxa" w:w="35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Identificar participações e verificar o pacto social  ★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Há participações sociais</w:t>
            </w:r>
          </w:p>
        </w:tc>
        <w:tc>
          <w:tcPr>
            <w:tcW w:type="dxa" w:w="3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Código das Sociedades Comerciais, art. 225.º</w:t>
            </w:r>
          </w:p>
        </w:tc>
      </w:tr>
      <w:tr>
        <w:trPr>
          <w:cantSplit/>
        </w:trPr>
        <w:tc>
          <w:tcPr>
            <w:tcW w:type="dxa" w:w="35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Atualizar o Registo Central do Beneficiário Efetivo (se aplicável)</w:t>
            </w:r>
          </w:p>
        </w:tc>
        <w:tc>
          <w:tcPr>
            <w:tcW w:type="dxa" w:w="29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Há participações sociais</w:t>
            </w:r>
          </w:p>
        </w:tc>
        <w:tc>
          <w:tcPr>
            <w:tcW w:type="dxa" w:w="3238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Lei n.º 89/2017</w:t>
            </w:r>
          </w:p>
        </w:tc>
      </w:tr>
      <w:tr>
        <w:trPr>
          <w:cantSplit/>
        </w:trPr>
        <w:tc>
          <w:tcPr>
            <w:tcW w:type="dxa" w:w="35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Identificar veículos e documentação de registo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Há veículos</w:t>
            </w:r>
          </w:p>
        </w:tc>
        <w:tc>
          <w:tcPr>
            <w:tcW w:type="dxa" w:w="3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</w:p>
        </w:tc>
      </w:tr>
      <w:tr>
        <w:trPr>
          <w:cantSplit/>
        </w:trPr>
        <w:tc>
          <w:tcPr>
            <w:tcW w:type="dxa" w:w="35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Identificar Certificados de Aforro/Tesouro junto do IGCP</w:t>
            </w:r>
          </w:p>
        </w:tc>
        <w:tc>
          <w:tcPr>
            <w:tcW w:type="dxa" w:w="29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Há Certificados de Aforro/Tesouro</w:t>
            </w:r>
          </w:p>
        </w:tc>
        <w:tc>
          <w:tcPr>
            <w:tcW w:type="dxa" w:w="3238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</w:p>
        </w:tc>
      </w:tr>
      <w:tr>
        <w:trPr>
          <w:cantSplit/>
        </w:trPr>
        <w:tc>
          <w:tcPr>
            <w:tcW w:type="dxa" w:w="35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Mapear património no estrangeiro e entidade responsável  ★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Há património no estrangeiro</w:t>
            </w:r>
          </w:p>
        </w:tc>
        <w:tc>
          <w:tcPr>
            <w:tcW w:type="dxa" w:w="3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</w:p>
        </w:tc>
      </w:tr>
      <w:tr>
        <w:trPr>
          <w:cantSplit/>
        </w:trPr>
        <w:tc>
          <w:tcPr>
            <w:tcW w:type="dxa" w:w="35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Consultar o registo central de seguros de vida (ASF) e identificar beneficiários</w:t>
            </w:r>
          </w:p>
        </w:tc>
        <w:tc>
          <w:tcPr>
            <w:tcW w:type="dxa" w:w="29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Seguros de vida por confirmar</w:t>
            </w:r>
          </w:p>
        </w:tc>
        <w:tc>
          <w:tcPr>
            <w:tcW w:type="dxa" w:w="3238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ASF — registo central de contratos de seguro de vida</w:t>
            </w:r>
          </w:p>
        </w:tc>
      </w:tr>
      <w:tr>
        <w:trPr>
          <w:cantSplit/>
        </w:trPr>
        <w:tc>
          <w:tcPr>
            <w:tcW w:type="dxa" w:w="35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Separar bens próprios e bens comuns (meação do cônjuge)  ★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Casamento em regime de comunhão</w:t>
            </w:r>
          </w:p>
        </w:tc>
        <w:tc>
          <w:tcPr>
            <w:tcW w:type="dxa" w:w="3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Código Civil, arts. 1722.º, 1724.º e 1732.º</w:t>
            </w:r>
          </w:p>
        </w:tc>
      </w:tr>
      <w:tr>
        <w:trPr>
          <w:cantSplit/>
        </w:trPr>
        <w:tc>
          <w:tcPr>
            <w:tcW w:type="dxa" w:w="35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Confirmar o regime de bens (determina a meação)  ★</w:t>
            </w:r>
          </w:p>
        </w:tc>
        <w:tc>
          <w:tcPr>
            <w:tcW w:type="dxa" w:w="29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Regime de bens desconhecido</w:t>
            </w:r>
          </w:p>
        </w:tc>
        <w:tc>
          <w:tcPr>
            <w:tcW w:type="dxa" w:w="3238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</w:p>
        </w:tc>
      </w:tr>
      <w:tr>
        <w:trPr>
          <w:cantSplit/>
        </w:trPr>
        <w:tc>
          <w:tcPr>
            <w:tcW w:type="dxa" w:w="35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Acautelar os direitos sobre a casa de morada de família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A casa de morada de família integra a herança</w:t>
            </w:r>
          </w:p>
        </w:tc>
        <w:tc>
          <w:tcPr>
            <w:tcW w:type="dxa" w:w="3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Código Civil, art. 2103.º-A; Lei n.º 7/2001, art. 5.º</w:t>
            </w:r>
          </w:p>
        </w:tc>
      </w:tr>
      <w:tr>
        <w:trPr>
          <w:cantSplit/>
        </w:trPr>
        <w:tc>
          <w:tcPr>
            <w:tcW w:type="dxa" w:w="35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Apurar a quota do falecido nas contas conjuntas e regularizar o bloqueio</w:t>
            </w:r>
          </w:p>
        </w:tc>
        <w:tc>
          <w:tcPr>
            <w:tcW w:type="dxa" w:w="29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Contas bancárias com cônjuge ou outros contitulares</w:t>
            </w:r>
          </w:p>
        </w:tc>
        <w:tc>
          <w:tcPr>
            <w:tcW w:type="dxa" w:w="3238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Código Civil, art. 516.º; Código do Imposto do Selo, art. 13.º</w:t>
            </w:r>
          </w:p>
        </w:tc>
      </w:tr>
    </w:tbl>
    <w:p>
      <w:pPr>
        <w:pStyle w:val="Heading2"/>
      </w:pPr>
      <w:r>
        <w:t xml:space="preserve">Passivo (7)</w:t>
      </w:r>
    </w:p>
    <w:tbl>
      <w:tblPr>
        <w:tblW w:type="dxa" w:w="9638"/>
        <w:tblBorders>
          <w:top w:val="single" w:color="D9DCE8" w:sz="4"/>
          <w:left w:val="single" w:color="D9DCE8" w:sz="4"/>
          <w:bottom w:val="single" w:color="D9DCE8" w:sz="4"/>
          <w:right w:val="single" w:color="D9DCE8" w:sz="4"/>
          <w:insideH w:val="single" w:color="D9DCE8" w:sz="4"/>
          <w:insideV w:val="single" w:color="D9DCE8" w:sz="4"/>
        </w:tblBorders>
      </w:tblPr>
      <w:tblGrid>
        <w:gridCol w:w="3500"/>
        <w:gridCol w:w="2900"/>
        <w:gridCol w:w="3238"/>
      </w:tblGrid>
      <w:tr>
        <w:trPr>
          <w:tblHeader/>
        </w:trPr>
        <w:tc>
          <w:tcPr>
            <w:tcW w:type="dxa" w:w="3500"/>
            <w:shd w:fill="EEF0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2D39B9"/>
                <w:sz w:val="19"/>
                <w:szCs w:val="19"/>
              </w:rPr>
              <w:t xml:space="preserve">Tarefa (★ crítica)</w:t>
            </w:r>
          </w:p>
        </w:tc>
        <w:tc>
          <w:tcPr>
            <w:tcW w:type="dxa" w:w="2900"/>
            <w:shd w:fill="EEF0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2D39B9"/>
                <w:sz w:val="19"/>
                <w:szCs w:val="19"/>
              </w:rPr>
              <w:t xml:space="preserve">Gerada quando</w:t>
            </w:r>
          </w:p>
        </w:tc>
        <w:tc>
          <w:tcPr>
            <w:tcW w:type="dxa" w:w="3238"/>
            <w:shd w:fill="EEF0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2D39B9"/>
                <w:sz w:val="19"/>
                <w:szCs w:val="19"/>
              </w:rPr>
              <w:t xml:space="preserve">Referências e prazo</w:t>
            </w:r>
          </w:p>
        </w:tc>
      </w:tr>
      <w:tr>
        <w:trPr>
          <w:cantSplit/>
        </w:trPr>
        <w:tc>
          <w:tcPr>
            <w:tcW w:type="dxa" w:w="35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Recolher e comprovar o passivo conhecido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Há passivo conhecido</w:t>
            </w:r>
          </w:p>
        </w:tc>
        <w:tc>
          <w:tcPr>
            <w:tcW w:type="dxa" w:w="3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</w:p>
        </w:tc>
      </w:tr>
      <w:tr>
        <w:trPr>
          <w:cantSplit/>
        </w:trPr>
        <w:tc>
          <w:tcPr>
            <w:tcW w:type="dxa" w:w="35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Acionar seguros de vida associados a créditos (habitação, consumo)</w:t>
            </w:r>
          </w:p>
        </w:tc>
        <w:tc>
          <w:tcPr>
            <w:tcW w:type="dxa" w:w="29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Há passivo conhecido</w:t>
            </w:r>
          </w:p>
        </w:tc>
        <w:tc>
          <w:tcPr>
            <w:tcW w:type="dxa" w:w="3238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Regime Jurídico do Contrato de Seguro (DL n.º 72/2008), arts. 100.º e 183.º e ss.</w:t>
            </w:r>
          </w:p>
        </w:tc>
      </w:tr>
      <w:tr>
        <w:trPr>
          <w:cantSplit/>
        </w:trPr>
        <w:tc>
          <w:tcPr>
            <w:tcW w:type="dxa" w:w="35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Verificar a existência de passivo e eventuais credores  ★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Passivo por confirmar</w:t>
            </w:r>
          </w:p>
        </w:tc>
        <w:tc>
          <w:tcPr>
            <w:tcW w:type="dxa" w:w="3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</w:p>
        </w:tc>
      </w:tr>
      <w:tr>
        <w:trPr>
          <w:cantSplit/>
        </w:trPr>
        <w:tc>
          <w:tcPr>
            <w:tcW w:type="dxa" w:w="35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Avaliar aceitação a benefício de inventário ou repúdio  ★</w:t>
            </w:r>
          </w:p>
        </w:tc>
        <w:tc>
          <w:tcPr>
            <w:tcW w:type="dxa" w:w="29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O passivo pode superar o ativo</w:t>
            </w:r>
          </w:p>
        </w:tc>
        <w:tc>
          <w:tcPr>
            <w:tcW w:type="dxa" w:w="3238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Código Civil, arts. 2052.º, 2053.º e 2071.º</w:t>
            </w:r>
          </w:p>
        </w:tc>
      </w:tr>
      <w:tr>
        <w:trPr>
          <w:cantSplit/>
        </w:trPr>
        <w:tc>
          <w:tcPr>
            <w:tcW w:type="dxa" w:w="35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Pedir certidões de dívidas às Finanças e à Segurança Social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Tarefa de base de qualquer sucessão</w:t>
            </w:r>
          </w:p>
        </w:tc>
        <w:tc>
          <w:tcPr>
            <w:tcW w:type="dxa" w:w="3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Código Civil, art. 2071.º; Lei Geral Tributária, art. 29.º, n.º 2</w:t>
            </w:r>
          </w:p>
        </w:tc>
      </w:tr>
      <w:tr>
        <w:trPr>
          <w:cantSplit/>
        </w:trPr>
        <w:tc>
          <w:tcPr>
            <w:tcW w:type="dxa" w:w="35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Apurar encargos da herança (funeral, sufrágios, administração)</w:t>
            </w:r>
          </w:p>
        </w:tc>
        <w:tc>
          <w:tcPr>
            <w:tcW w:type="dxa" w:w="29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Tarefa de base de qualquer sucessão</w:t>
            </w:r>
          </w:p>
        </w:tc>
        <w:tc>
          <w:tcPr>
            <w:tcW w:type="dxa" w:w="3238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Código Civil, art. 2068.º</w:t>
            </w:r>
          </w:p>
        </w:tc>
      </w:tr>
      <w:tr>
        <w:trPr>
          <w:cantSplit/>
        </w:trPr>
        <w:tc>
          <w:tcPr>
            <w:tcW w:type="dxa" w:w="35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Cancelar contratos, débitos diretos e subscrições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Tarefa de base de qualquer sucessão</w:t>
            </w:r>
          </w:p>
        </w:tc>
        <w:tc>
          <w:tcPr>
            <w:tcW w:type="dxa" w:w="3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</w:p>
        </w:tc>
      </w:tr>
    </w:tbl>
    <w:p>
      <w:pPr>
        <w:pStyle w:val="Heading2"/>
      </w:pPr>
      <w:r>
        <w:t xml:space="preserve">Fiscal (8)</w:t>
      </w:r>
    </w:p>
    <w:tbl>
      <w:tblPr>
        <w:tblW w:type="dxa" w:w="9638"/>
        <w:tblBorders>
          <w:top w:val="single" w:color="D9DCE8" w:sz="4"/>
          <w:left w:val="single" w:color="D9DCE8" w:sz="4"/>
          <w:bottom w:val="single" w:color="D9DCE8" w:sz="4"/>
          <w:right w:val="single" w:color="D9DCE8" w:sz="4"/>
          <w:insideH w:val="single" w:color="D9DCE8" w:sz="4"/>
          <w:insideV w:val="single" w:color="D9DCE8" w:sz="4"/>
        </w:tblBorders>
      </w:tblPr>
      <w:tblGrid>
        <w:gridCol w:w="3500"/>
        <w:gridCol w:w="2900"/>
        <w:gridCol w:w="3238"/>
      </w:tblGrid>
      <w:tr>
        <w:trPr>
          <w:tblHeader/>
        </w:trPr>
        <w:tc>
          <w:tcPr>
            <w:tcW w:type="dxa" w:w="3500"/>
            <w:shd w:fill="EEF0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2D39B9"/>
                <w:sz w:val="19"/>
                <w:szCs w:val="19"/>
              </w:rPr>
              <w:t xml:space="preserve">Tarefa (★ crítica)</w:t>
            </w:r>
          </w:p>
        </w:tc>
        <w:tc>
          <w:tcPr>
            <w:tcW w:type="dxa" w:w="2900"/>
            <w:shd w:fill="EEF0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2D39B9"/>
                <w:sz w:val="19"/>
                <w:szCs w:val="19"/>
              </w:rPr>
              <w:t xml:space="preserve">Gerada quando</w:t>
            </w:r>
          </w:p>
        </w:tc>
        <w:tc>
          <w:tcPr>
            <w:tcW w:type="dxa" w:w="3238"/>
            <w:shd w:fill="EEF0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2D39B9"/>
                <w:sz w:val="19"/>
                <w:szCs w:val="19"/>
              </w:rPr>
              <w:t xml:space="preserve">Referências e prazo</w:t>
            </w:r>
          </w:p>
        </w:tc>
      </w:tr>
      <w:tr>
        <w:trPr>
          <w:cantSplit/>
        </w:trPr>
        <w:tc>
          <w:tcPr>
            <w:tcW w:type="dxa" w:w="35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Declarar em IRS os rendimentos da herança indivisa (rendas) por cada herdeiro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Há imóveis</w:t>
            </w:r>
          </w:p>
        </w:tc>
        <w:tc>
          <w:tcPr>
            <w:tcW w:type="dxa" w:w="3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Código do IRS, art. 19.º</w:t>
            </w:r>
          </w:p>
        </w:tc>
      </w:tr>
      <w:tr>
        <w:trPr>
          <w:cantSplit/>
        </w:trPr>
        <w:tc>
          <w:tcPr>
            <w:tcW w:type="dxa" w:w="35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Participar o óbito às Finanças — Modelo 1 do Imposto do Selo  ★</w:t>
            </w:r>
          </w:p>
        </w:tc>
        <w:tc>
          <w:tcPr>
            <w:tcW w:type="dxa" w:w="29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Obrigação fiscal de qualquer sucessão</w:t>
            </w:r>
          </w:p>
        </w:tc>
        <w:tc>
          <w:tcPr>
            <w:tcW w:type="dxa" w:w="3238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Código do Imposto do Selo, art. 26.º, n.º 3; Código do Imposto do Selo, art. 6.º, al. e)</w:t>
            </w:r>
          </w:p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Prazo: [object Object]</w:t>
            </w:r>
          </w:p>
        </w:tc>
      </w:tr>
      <w:tr>
        <w:trPr>
          <w:cantSplit/>
        </w:trPr>
        <w:tc>
          <w:tcPr>
            <w:tcW w:type="dxa" w:w="35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Preparar a relação de bens (ativo e passivo) com valores fiscais  ★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Obrigação fiscal de qualquer sucessão</w:t>
            </w:r>
          </w:p>
        </w:tc>
        <w:tc>
          <w:tcPr>
            <w:tcW w:type="dxa" w:w="3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Código do Imposto do Selo, arts. 13.º e 26.º</w:t>
            </w:r>
          </w:p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Prazo: [object Object]</w:t>
            </w:r>
          </w:p>
        </w:tc>
      </w:tr>
      <w:tr>
        <w:trPr>
          <w:cantSplit/>
        </w:trPr>
        <w:tc>
          <w:tcPr>
            <w:tcW w:type="dxa" w:w="35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Confirmar o NIF da herança indivisa</w:t>
            </w:r>
          </w:p>
        </w:tc>
        <w:tc>
          <w:tcPr>
            <w:tcW w:type="dxa" w:w="29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Obrigação fiscal de qualquer sucessão</w:t>
            </w:r>
          </w:p>
        </w:tc>
        <w:tc>
          <w:tcPr>
            <w:tcW w:type="dxa" w:w="3238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</w:p>
        </w:tc>
      </w:tr>
      <w:tr>
        <w:trPr>
          <w:cantSplit/>
        </w:trPr>
        <w:tc>
          <w:tcPr>
            <w:tcW w:type="dxa" w:w="35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Entregar o IRS do falecido relativo ao ano do óbito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Obrigação fiscal de qualquer sucessão</w:t>
            </w:r>
          </w:p>
        </w:tc>
        <w:tc>
          <w:tcPr>
            <w:tcW w:type="dxa" w:w="3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Código do IRS, arts. 60.º e 63.º</w:t>
            </w:r>
          </w:p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Prazo: [object Object]</w:t>
            </w:r>
          </w:p>
        </w:tc>
      </w:tr>
      <w:tr>
        <w:trPr>
          <w:cantSplit/>
        </w:trPr>
        <w:tc>
          <w:tcPr>
            <w:tcW w:type="dxa" w:w="35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Apurar Imposto do Selo (10%) para beneficiários não isentos  ★</w:t>
            </w:r>
          </w:p>
        </w:tc>
        <w:tc>
          <w:tcPr>
            <w:tcW w:type="dxa" w:w="29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Pode haver beneficiários não isentos de Imposto do Selo</w:t>
            </w:r>
          </w:p>
        </w:tc>
        <w:tc>
          <w:tcPr>
            <w:tcW w:type="dxa" w:w="3238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Tabela Geral do Imposto do Selo, verba 1.2</w:t>
            </w:r>
          </w:p>
        </w:tc>
      </w:tr>
      <w:tr>
        <w:trPr>
          <w:cantSplit/>
        </w:trPr>
        <w:tc>
          <w:tcPr>
            <w:tcW w:type="dxa" w:w="35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Acompanhar IMI em nome da herança indivisa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Há imóveis</w:t>
            </w:r>
          </w:p>
        </w:tc>
        <w:tc>
          <w:tcPr>
            <w:tcW w:type="dxa" w:w="3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Código do IMI, art. 8.º</w:t>
            </w:r>
          </w:p>
        </w:tc>
      </w:tr>
      <w:tr>
        <w:trPr>
          <w:cantSplit/>
        </w:trPr>
        <w:tc>
          <w:tcPr>
            <w:tcW w:type="dxa" w:w="35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Garantir NIF português e representante fiscal dos herdeiros não residentes</w:t>
            </w:r>
          </w:p>
        </w:tc>
        <w:tc>
          <w:tcPr>
            <w:tcW w:type="dxa" w:w="29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Há herdeiros a residir no estrangeiro</w:t>
            </w:r>
          </w:p>
        </w:tc>
        <w:tc>
          <w:tcPr>
            <w:tcW w:type="dxa" w:w="3238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Lei Geral Tributária, art. 19.º, n.ºs 6 e 7; Código do Imposto do Selo, art. 26.º</w:t>
            </w:r>
          </w:p>
        </w:tc>
      </w:tr>
    </w:tbl>
    <w:p>
      <w:pPr>
        <w:pStyle w:val="Heading2"/>
      </w:pPr>
      <w:r>
        <w:t xml:space="preserve">Partilha (7)</w:t>
      </w:r>
    </w:p>
    <w:tbl>
      <w:tblPr>
        <w:tblW w:type="dxa" w:w="9638"/>
        <w:tblBorders>
          <w:top w:val="single" w:color="D9DCE8" w:sz="4"/>
          <w:left w:val="single" w:color="D9DCE8" w:sz="4"/>
          <w:bottom w:val="single" w:color="D9DCE8" w:sz="4"/>
          <w:right w:val="single" w:color="D9DCE8" w:sz="4"/>
          <w:insideH w:val="single" w:color="D9DCE8" w:sz="4"/>
          <w:insideV w:val="single" w:color="D9DCE8" w:sz="4"/>
        </w:tblBorders>
      </w:tblPr>
      <w:tblGrid>
        <w:gridCol w:w="3500"/>
        <w:gridCol w:w="2900"/>
        <w:gridCol w:w="3238"/>
      </w:tblGrid>
      <w:tr>
        <w:trPr>
          <w:tblHeader/>
        </w:trPr>
        <w:tc>
          <w:tcPr>
            <w:tcW w:type="dxa" w:w="3500"/>
            <w:shd w:fill="EEF0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2D39B9"/>
                <w:sz w:val="19"/>
                <w:szCs w:val="19"/>
              </w:rPr>
              <w:t xml:space="preserve">Tarefa (★ crítica)</w:t>
            </w:r>
          </w:p>
        </w:tc>
        <w:tc>
          <w:tcPr>
            <w:tcW w:type="dxa" w:w="2900"/>
            <w:shd w:fill="EEF0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2D39B9"/>
                <w:sz w:val="19"/>
                <w:szCs w:val="19"/>
              </w:rPr>
              <w:t xml:space="preserve">Gerada quando</w:t>
            </w:r>
          </w:p>
        </w:tc>
        <w:tc>
          <w:tcPr>
            <w:tcW w:type="dxa" w:w="3238"/>
            <w:shd w:fill="EEF0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2D39B9"/>
                <w:sz w:val="19"/>
                <w:szCs w:val="19"/>
              </w:rPr>
              <w:t xml:space="preserve">Referências e prazo</w:t>
            </w:r>
          </w:p>
        </w:tc>
      </w:tr>
      <w:tr>
        <w:trPr>
          <w:cantSplit/>
        </w:trPr>
        <w:tc>
          <w:tcPr>
            <w:tcW w:type="dxa" w:w="35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Registar a perspetiva da partilha e os pontos pendentes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Tarefa de base de qualquer sucessão</w:t>
            </w:r>
          </w:p>
        </w:tc>
        <w:tc>
          <w:tcPr>
            <w:tcW w:type="dxa" w:w="3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</w:p>
        </w:tc>
      </w:tr>
      <w:tr>
        <w:trPr>
          <w:cantSplit/>
        </w:trPr>
        <w:tc>
          <w:tcPr>
            <w:tcW w:type="dxa" w:w="35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Preparar projeto de partilha e mapa de quinhões</w:t>
            </w:r>
          </w:p>
        </w:tc>
        <w:tc>
          <w:tcPr>
            <w:tcW w:type="dxa" w:w="29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Há acordo ou boas perspetivas de acordo</w:t>
            </w:r>
          </w:p>
        </w:tc>
        <w:tc>
          <w:tcPr>
            <w:tcW w:type="dxa" w:w="3238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Código Civil, arts. 2101.º e 2102.º</w:t>
            </w:r>
          </w:p>
        </w:tc>
      </w:tr>
      <w:tr>
        <w:trPr>
          <w:cantSplit/>
        </w:trPr>
        <w:tc>
          <w:tcPr>
            <w:tcW w:type="dxa" w:w="35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Agendar a partilha (escritura, documento autenticado ou Balcão das Heranças)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Há acordo ou boas perspetivas de acordo</w:t>
            </w:r>
          </w:p>
        </w:tc>
        <w:tc>
          <w:tcPr>
            <w:tcW w:type="dxa" w:w="3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</w:p>
        </w:tc>
      </w:tr>
      <w:tr>
        <w:trPr>
          <w:cantSplit/>
        </w:trPr>
        <w:tc>
          <w:tcPr>
            <w:tcW w:type="dxa" w:w="35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Avaliar a via adequada: inventário judicial ou notarial  ★</w:t>
            </w:r>
          </w:p>
        </w:tc>
        <w:tc>
          <w:tcPr>
            <w:tcW w:type="dxa" w:w="29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Sem acordo entre os interessados</w:t>
            </w:r>
          </w:p>
        </w:tc>
        <w:tc>
          <w:tcPr>
            <w:tcW w:type="dxa" w:w="3238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Código de Processo Civil, arts. 1082.º e ss.; Lei n.º 117/2019</w:t>
            </w:r>
          </w:p>
        </w:tc>
      </w:tr>
      <w:tr>
        <w:trPr>
          <w:cantSplit/>
        </w:trPr>
        <w:tc>
          <w:tcPr>
            <w:tcW w:type="dxa" w:w="35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Obter autorização do Ministério Público para a partilha  ★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Há menores ou maiores acompanhados</w:t>
            </w:r>
          </w:p>
        </w:tc>
        <w:tc>
          <w:tcPr>
            <w:tcW w:type="dxa" w:w="3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Decreto-Lei n.º 272/2001</w:t>
            </w:r>
          </w:p>
        </w:tc>
      </w:tr>
      <w:tr>
        <w:trPr>
          <w:cantSplit/>
        </w:trPr>
        <w:tc>
          <w:tcPr>
            <w:tcW w:type="dxa" w:w="35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Calcular tornas e eventual IMT sobre excesso de quota-parte</w:t>
            </w:r>
          </w:p>
        </w:tc>
        <w:tc>
          <w:tcPr>
            <w:tcW w:type="dxa" w:w="29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Há imóveis a partilhar</w:t>
            </w:r>
          </w:p>
        </w:tc>
        <w:tc>
          <w:tcPr>
            <w:tcW w:type="dxa" w:w="3238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Código do IMT, art. 2.º, n.º 5, al. c)</w:t>
            </w:r>
          </w:p>
        </w:tc>
      </w:tr>
      <w:tr>
        <w:trPr>
          <w:cantSplit/>
        </w:trPr>
        <w:tc>
          <w:tcPr>
            <w:tcW w:type="dxa" w:w="35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Efetuar a colação das doações na partilha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Houve doações em vida</w:t>
            </w:r>
          </w:p>
        </w:tc>
        <w:tc>
          <w:tcPr>
            <w:tcW w:type="dxa" w:w="3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Código Civil, arts. 2104.º a 2118.º</w:t>
            </w:r>
          </w:p>
        </w:tc>
      </w:tr>
    </w:tbl>
    <w:p>
      <w:pPr>
        <w:pStyle w:val="Heading2"/>
      </w:pPr>
      <w:r>
        <w:t xml:space="preserve">Encerramento (6)</w:t>
      </w:r>
    </w:p>
    <w:tbl>
      <w:tblPr>
        <w:tblW w:type="dxa" w:w="9638"/>
        <w:tblBorders>
          <w:top w:val="single" w:color="D9DCE8" w:sz="4"/>
          <w:left w:val="single" w:color="D9DCE8" w:sz="4"/>
          <w:bottom w:val="single" w:color="D9DCE8" w:sz="4"/>
          <w:right w:val="single" w:color="D9DCE8" w:sz="4"/>
          <w:insideH w:val="single" w:color="D9DCE8" w:sz="4"/>
          <w:insideV w:val="single" w:color="D9DCE8" w:sz="4"/>
        </w:tblBorders>
      </w:tblPr>
      <w:tblGrid>
        <w:gridCol w:w="3500"/>
        <w:gridCol w:w="2900"/>
        <w:gridCol w:w="3238"/>
      </w:tblGrid>
      <w:tr>
        <w:trPr>
          <w:tblHeader/>
        </w:trPr>
        <w:tc>
          <w:tcPr>
            <w:tcW w:type="dxa" w:w="3500"/>
            <w:shd w:fill="EEF0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2D39B9"/>
                <w:sz w:val="19"/>
                <w:szCs w:val="19"/>
              </w:rPr>
              <w:t xml:space="preserve">Tarefa (★ crítica)</w:t>
            </w:r>
          </w:p>
        </w:tc>
        <w:tc>
          <w:tcPr>
            <w:tcW w:type="dxa" w:w="2900"/>
            <w:shd w:fill="EEF0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2D39B9"/>
                <w:sz w:val="19"/>
                <w:szCs w:val="19"/>
              </w:rPr>
              <w:t xml:space="preserve">Gerada quando</w:t>
            </w:r>
          </w:p>
        </w:tc>
        <w:tc>
          <w:tcPr>
            <w:tcW w:type="dxa" w:w="3238"/>
            <w:shd w:fill="EEF0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2D39B9"/>
                <w:sz w:val="19"/>
                <w:szCs w:val="19"/>
              </w:rPr>
              <w:t xml:space="preserve">Referências e prazo</w:t>
            </w:r>
          </w:p>
        </w:tc>
      </w:tr>
      <w:tr>
        <w:trPr>
          <w:cantSplit/>
        </w:trPr>
        <w:tc>
          <w:tcPr>
            <w:tcW w:type="dxa" w:w="35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Promover o registo predial das aquisições  ★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Há imóveis</w:t>
            </w:r>
          </w:p>
        </w:tc>
        <w:tc>
          <w:tcPr>
            <w:tcW w:type="dxa" w:w="3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Código do Registo Predial, arts. 8.º-A e ss.</w:t>
            </w:r>
          </w:p>
        </w:tc>
      </w:tr>
      <w:tr>
        <w:trPr>
          <w:cantSplit/>
        </w:trPr>
        <w:tc>
          <w:tcPr>
            <w:tcW w:type="dxa" w:w="35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Promover o registo automóvel a favor dos herdeiros</w:t>
            </w:r>
          </w:p>
        </w:tc>
        <w:tc>
          <w:tcPr>
            <w:tcW w:type="dxa" w:w="29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Há veículos</w:t>
            </w:r>
          </w:p>
        </w:tc>
        <w:tc>
          <w:tcPr>
            <w:tcW w:type="dxa" w:w="3238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Decreto-Lei n.º 54/75</w:t>
            </w:r>
          </w:p>
        </w:tc>
      </w:tr>
      <w:tr>
        <w:trPr>
          <w:cantSplit/>
        </w:trPr>
        <w:tc>
          <w:tcPr>
            <w:tcW w:type="dxa" w:w="35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Movimentar ou encerrar contas conforme a partilha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Há contas bancárias</w:t>
            </w:r>
          </w:p>
        </w:tc>
        <w:tc>
          <w:tcPr>
            <w:tcW w:type="dxa" w:w="3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</w:p>
        </w:tc>
      </w:tr>
      <w:tr>
        <w:trPr>
          <w:cantSplit/>
        </w:trPr>
        <w:tc>
          <w:tcPr>
            <w:tcW w:type="dxa" w:w="35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Registar a transmissão das participações sociais</w:t>
            </w:r>
          </w:p>
        </w:tc>
        <w:tc>
          <w:tcPr>
            <w:tcW w:type="dxa" w:w="29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Há participações sociais</w:t>
            </w:r>
          </w:p>
        </w:tc>
        <w:tc>
          <w:tcPr>
            <w:tcW w:type="dxa" w:w="3238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</w:p>
        </w:tc>
      </w:tr>
      <w:tr>
        <w:trPr>
          <w:cantSplit/>
        </w:trPr>
        <w:tc>
          <w:tcPr>
            <w:tcW w:type="dxa" w:w="35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Confirmar cumprimento das obrigações pendentes e documentação final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Tarefa de base de qualquer sucessão</w:t>
            </w:r>
          </w:p>
        </w:tc>
        <w:tc>
          <w:tcPr>
            <w:tcW w:type="dxa" w:w="3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</w:p>
        </w:tc>
      </w:tr>
      <w:tr>
        <w:trPr>
          <w:cantSplit/>
        </w:trPr>
        <w:tc>
          <w:tcPr>
            <w:tcW w:type="dxa" w:w="35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Enviar relatório final, encerrar dossier e arquivar documentação</w:t>
            </w:r>
          </w:p>
        </w:tc>
        <w:tc>
          <w:tcPr>
            <w:tcW w:type="dxa" w:w="29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Tarefa de base de qualquer sucessão</w:t>
            </w:r>
          </w:p>
        </w:tc>
        <w:tc>
          <w:tcPr>
            <w:tcW w:type="dxa" w:w="3238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</w:p>
        </w:tc>
      </w:tr>
    </w:tbl>
    <w:p>
      <w:pPr>
        <w:pStyle w:val="Heading1"/>
        <w:pageBreakBefore/>
      </w:pPr>
      <w:r>
        <w:t xml:space="preserve">Anexo D — Campos automáticos das minutas</w:t>
      </w:r>
    </w:p>
    <w:tbl>
      <w:tblPr>
        <w:tblW w:type="dxa" w:w="9638"/>
        <w:tblBorders>
          <w:top w:val="single" w:color="D9DCE8" w:sz="4"/>
          <w:left w:val="single" w:color="D9DCE8" w:sz="4"/>
          <w:bottom w:val="single" w:color="D9DCE8" w:sz="4"/>
          <w:right w:val="single" w:color="D9DCE8" w:sz="4"/>
          <w:insideH w:val="single" w:color="D9DCE8" w:sz="4"/>
          <w:insideV w:val="single" w:color="D9DCE8" w:sz="4"/>
        </w:tblBorders>
      </w:tblPr>
      <w:tblGrid>
        <w:gridCol w:w="3800"/>
        <w:gridCol w:w="5838"/>
      </w:tblGrid>
      <w:tr>
        <w:trPr>
          <w:tblHeader/>
        </w:trPr>
        <w:tc>
          <w:tcPr>
            <w:tcW w:type="dxa" w:w="3800"/>
            <w:shd w:fill="EEF0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2D39B9"/>
                <w:sz w:val="19"/>
                <w:szCs w:val="19"/>
              </w:rPr>
              <w:t xml:space="preserve">Campo</w:t>
            </w:r>
          </w:p>
        </w:tc>
        <w:tc>
          <w:tcPr>
            <w:tcW w:type="dxa" w:w="5838"/>
            <w:shd w:fill="EEF0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2D39B9"/>
                <w:sz w:val="19"/>
                <w:szCs w:val="19"/>
              </w:rPr>
              <w:t xml:space="preserve">Conteúdo</w:t>
            </w:r>
          </w:p>
        </w:tc>
      </w:tr>
      <w:tr>
        <w:trPr>
          <w:cantSplit/>
        </w:trPr>
        <w:tc>
          <w:tcPr>
            <w:tcW w:type="dxa" w:w="38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{{hoje}}</w:t>
            </w:r>
          </w:p>
        </w:tc>
        <w:tc>
          <w:tcPr>
            <w:tcW w:type="dxa" w:w="58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Data de hoje</w:t>
            </w:r>
          </w:p>
        </w:tc>
      </w:tr>
      <w:tr>
        <w:trPr>
          <w:cantSplit/>
        </w:trPr>
        <w:tc>
          <w:tcPr>
            <w:tcW w:type="dxa" w:w="38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{{escritorio.nome}}</w:t>
            </w:r>
          </w:p>
        </w:tc>
        <w:tc>
          <w:tcPr>
            <w:tcW w:type="dxa" w:w="5838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Nome do escritório</w:t>
            </w:r>
          </w:p>
        </w:tc>
      </w:tr>
      <w:tr>
        <w:trPr>
          <w:cantSplit/>
        </w:trPr>
        <w:tc>
          <w:tcPr>
            <w:tcW w:type="dxa" w:w="38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{{escritorio.local}}</w:t>
            </w:r>
          </w:p>
        </w:tc>
        <w:tc>
          <w:tcPr>
            <w:tcW w:type="dxa" w:w="58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Localidade do escritório</w:t>
            </w:r>
          </w:p>
        </w:tc>
      </w:tr>
      <w:tr>
        <w:trPr>
          <w:cantSplit/>
        </w:trPr>
        <w:tc>
          <w:tcPr>
            <w:tcW w:type="dxa" w:w="38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{{escritorio.morada}}</w:t>
            </w:r>
          </w:p>
        </w:tc>
        <w:tc>
          <w:tcPr>
            <w:tcW w:type="dxa" w:w="5838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Morada do escritório</w:t>
            </w:r>
          </w:p>
        </w:tc>
      </w:tr>
      <w:tr>
        <w:trPr>
          <w:cantSplit/>
        </w:trPr>
        <w:tc>
          <w:tcPr>
            <w:tcW w:type="dxa" w:w="38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{{escritorio.email}}</w:t>
            </w:r>
          </w:p>
        </w:tc>
        <w:tc>
          <w:tcPr>
            <w:tcW w:type="dxa" w:w="58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Email do escritório</w:t>
            </w:r>
          </w:p>
        </w:tc>
      </w:tr>
      <w:tr>
        <w:trPr>
          <w:cantSplit/>
        </w:trPr>
        <w:tc>
          <w:tcPr>
            <w:tcW w:type="dxa" w:w="38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{{escritorio.telefone}}</w:t>
            </w:r>
          </w:p>
        </w:tc>
        <w:tc>
          <w:tcPr>
            <w:tcW w:type="dxa" w:w="5838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Telefone do escritório</w:t>
            </w:r>
          </w:p>
        </w:tc>
      </w:tr>
      <w:tr>
        <w:trPr>
          <w:cantSplit/>
        </w:trPr>
        <w:tc>
          <w:tcPr>
            <w:tcW w:type="dxa" w:w="38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{{responsavel.nome}}</w:t>
            </w:r>
          </w:p>
        </w:tc>
        <w:tc>
          <w:tcPr>
            <w:tcW w:type="dxa" w:w="58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Responsável pelo dossier</w:t>
            </w:r>
          </w:p>
        </w:tc>
      </w:tr>
      <w:tr>
        <w:trPr>
          <w:cantSplit/>
        </w:trPr>
        <w:tc>
          <w:tcPr>
            <w:tcW w:type="dxa" w:w="38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{{dossier.ref}}</w:t>
            </w:r>
          </w:p>
        </w:tc>
        <w:tc>
          <w:tcPr>
            <w:tcW w:type="dxa" w:w="5838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Referência do dossier</w:t>
            </w:r>
          </w:p>
        </w:tc>
      </w:tr>
      <w:tr>
        <w:trPr>
          <w:cantSplit/>
        </w:trPr>
        <w:tc>
          <w:tcPr>
            <w:tcW w:type="dxa" w:w="38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{{dossier.nome}}</w:t>
            </w:r>
          </w:p>
        </w:tc>
        <w:tc>
          <w:tcPr>
            <w:tcW w:type="dxa" w:w="58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Nome do dossier</w:t>
            </w:r>
          </w:p>
        </w:tc>
      </w:tr>
      <w:tr>
        <w:trPr>
          <w:cantSplit/>
        </w:trPr>
        <w:tc>
          <w:tcPr>
            <w:tcW w:type="dxa" w:w="38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{{falecido.nome}}</w:t>
            </w:r>
          </w:p>
        </w:tc>
        <w:tc>
          <w:tcPr>
            <w:tcW w:type="dxa" w:w="5838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Nome do falecido</w:t>
            </w:r>
          </w:p>
        </w:tc>
      </w:tr>
      <w:tr>
        <w:trPr>
          <w:cantSplit/>
        </w:trPr>
        <w:tc>
          <w:tcPr>
            <w:tcW w:type="dxa" w:w="38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{{falecido.nif}}</w:t>
            </w:r>
          </w:p>
        </w:tc>
        <w:tc>
          <w:tcPr>
            <w:tcW w:type="dxa" w:w="58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NIF do falecido</w:t>
            </w:r>
          </w:p>
        </w:tc>
      </w:tr>
      <w:tr>
        <w:trPr>
          <w:cantSplit/>
        </w:trPr>
        <w:tc>
          <w:tcPr>
            <w:tcW w:type="dxa" w:w="38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{{falecido.data_obito}}</w:t>
            </w:r>
          </w:p>
        </w:tc>
        <w:tc>
          <w:tcPr>
            <w:tcW w:type="dxa" w:w="5838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Data do óbito</w:t>
            </w:r>
          </w:p>
        </w:tc>
      </w:tr>
      <w:tr>
        <w:trPr>
          <w:cantSplit/>
        </w:trPr>
        <w:tc>
          <w:tcPr>
            <w:tcW w:type="dxa" w:w="38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{{falecido.local_obito}}</w:t>
            </w:r>
          </w:p>
        </w:tc>
        <w:tc>
          <w:tcPr>
            <w:tcW w:type="dxa" w:w="58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Local do óbito</w:t>
            </w:r>
          </w:p>
        </w:tc>
      </w:tr>
      <w:tr>
        <w:trPr>
          <w:cantSplit/>
        </w:trPr>
        <w:tc>
          <w:tcPr>
            <w:tcW w:type="dxa" w:w="38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{{falecido.ultimo_domicilio}}</w:t>
            </w:r>
          </w:p>
        </w:tc>
        <w:tc>
          <w:tcPr>
            <w:tcW w:type="dxa" w:w="5838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Último domicílio</w:t>
            </w:r>
          </w:p>
        </w:tc>
      </w:tr>
      <w:tr>
        <w:trPr>
          <w:cantSplit/>
        </w:trPr>
        <w:tc>
          <w:tcPr>
            <w:tcW w:type="dxa" w:w="38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{{cliente.nome}}</w:t>
            </w:r>
          </w:p>
        </w:tc>
        <w:tc>
          <w:tcPr>
            <w:tcW w:type="dxa" w:w="58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Nome do cliente</w:t>
            </w:r>
          </w:p>
        </w:tc>
      </w:tr>
      <w:tr>
        <w:trPr>
          <w:cantSplit/>
        </w:trPr>
        <w:tc>
          <w:tcPr>
            <w:tcW w:type="dxa" w:w="38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{{cliente.email}}</w:t>
            </w:r>
          </w:p>
        </w:tc>
        <w:tc>
          <w:tcPr>
            <w:tcW w:type="dxa" w:w="5838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Email do cliente</w:t>
            </w:r>
          </w:p>
        </w:tc>
      </w:tr>
      <w:tr>
        <w:trPr>
          <w:cantSplit/>
        </w:trPr>
        <w:tc>
          <w:tcPr>
            <w:tcW w:type="dxa" w:w="38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{{cliente.morada}}</w:t>
            </w:r>
          </w:p>
        </w:tc>
        <w:tc>
          <w:tcPr>
            <w:tcW w:type="dxa" w:w="58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Morada do cliente</w:t>
            </w:r>
          </w:p>
        </w:tc>
      </w:tr>
      <w:tr>
        <w:trPr>
          <w:cantSplit/>
        </w:trPr>
        <w:tc>
          <w:tcPr>
            <w:tcW w:type="dxa" w:w="38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{{conjuge.nome}}</w:t>
            </w:r>
          </w:p>
        </w:tc>
        <w:tc>
          <w:tcPr>
            <w:tcW w:type="dxa" w:w="5838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Cônjuge</w:t>
            </w:r>
          </w:p>
        </w:tc>
      </w:tr>
      <w:tr>
        <w:trPr>
          <w:cantSplit/>
        </w:trPr>
        <w:tc>
          <w:tcPr>
            <w:tcW w:type="dxa" w:w="38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{{cabeca_casal.nome}}</w:t>
            </w:r>
          </w:p>
        </w:tc>
        <w:tc>
          <w:tcPr>
            <w:tcW w:type="dxa" w:w="58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Cabeça-de-casal</w:t>
            </w:r>
          </w:p>
        </w:tc>
      </w:tr>
      <w:tr>
        <w:trPr>
          <w:cantSplit/>
        </w:trPr>
        <w:tc>
          <w:tcPr>
            <w:tcW w:type="dxa" w:w="38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{{prazo.imposto_selo}}</w:t>
            </w:r>
          </w:p>
        </w:tc>
        <w:tc>
          <w:tcPr>
            <w:tcW w:type="dxa" w:w="5838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Prazo do Imposto do Selo</w:t>
            </w:r>
          </w:p>
        </w:tc>
      </w:tr>
      <w:tr>
        <w:trPr>
          <w:cantSplit/>
        </w:trPr>
        <w:tc>
          <w:tcPr>
            <w:tcW w:type="dxa" w:w="38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{{prazo.irs}}</w:t>
            </w:r>
          </w:p>
        </w:tc>
        <w:tc>
          <w:tcPr>
            <w:tcW w:type="dxa" w:w="58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Prazo do IRS do falecido</w:t>
            </w:r>
          </w:p>
        </w:tc>
      </w:tr>
      <w:tr>
        <w:trPr>
          <w:cantSplit/>
        </w:trPr>
        <w:tc>
          <w:tcPr>
            <w:tcW w:type="dxa" w:w="38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{{progresso.percentagem}}</w:t>
            </w:r>
          </w:p>
        </w:tc>
        <w:tc>
          <w:tcPr>
            <w:tcW w:type="dxa" w:w="5838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Progresso do dossier (%)</w:t>
            </w:r>
          </w:p>
        </w:tc>
      </w:tr>
      <w:tr>
        <w:trPr>
          <w:cantSplit/>
        </w:trPr>
        <w:tc>
          <w:tcPr>
            <w:tcW w:type="dxa" w:w="38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{{valor.ativo}}</w:t>
            </w:r>
          </w:p>
        </w:tc>
        <w:tc>
          <w:tcPr>
            <w:tcW w:type="dxa" w:w="58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Ativo registado (€)</w:t>
            </w:r>
          </w:p>
        </w:tc>
      </w:tr>
      <w:tr>
        <w:trPr>
          <w:cantSplit/>
        </w:trPr>
        <w:tc>
          <w:tcPr>
            <w:tcW w:type="dxa" w:w="38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{{valor.passivo}}</w:t>
            </w:r>
          </w:p>
        </w:tc>
        <w:tc>
          <w:tcPr>
            <w:tcW w:type="dxa" w:w="5838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Passivo registado (€)</w:t>
            </w:r>
          </w:p>
        </w:tc>
      </w:tr>
      <w:tr>
        <w:trPr>
          <w:cantSplit/>
        </w:trPr>
        <w:tc>
          <w:tcPr>
            <w:tcW w:type="dxa" w:w="38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{{escritura.data}}</w:t>
            </w:r>
          </w:p>
        </w:tc>
        <w:tc>
          <w:tcPr>
            <w:tcW w:type="dxa" w:w="58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Data da próxima escritura</w:t>
            </w:r>
          </w:p>
        </w:tc>
      </w:tr>
      <w:tr>
        <w:trPr>
          <w:cantSplit/>
        </w:trPr>
        <w:tc>
          <w:tcPr>
            <w:tcW w:type="dxa" w:w="38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{{escritura.hora}}</w:t>
            </w:r>
          </w:p>
        </w:tc>
        <w:tc>
          <w:tcPr>
            <w:tcW w:type="dxa" w:w="5838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Hora da próxima escritura</w:t>
            </w:r>
          </w:p>
        </w:tc>
      </w:tr>
      <w:tr>
        <w:trPr>
          <w:cantSplit/>
        </w:trPr>
        <w:tc>
          <w:tcPr>
            <w:tcW w:type="dxa" w:w="38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{{escritura.local}}</w:t>
            </w:r>
          </w:p>
        </w:tc>
        <w:tc>
          <w:tcPr>
            <w:tcW w:type="dxa" w:w="58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Local da próxima escritura</w:t>
            </w:r>
          </w:p>
        </w:tc>
      </w:tr>
      <w:tr>
        <w:trPr>
          <w:cantSplit/>
        </w:trPr>
        <w:tc>
          <w:tcPr>
            <w:tcW w:type="dxa" w:w="38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{{lista.herdeiros}}</w:t>
            </w:r>
          </w:p>
        </w:tc>
        <w:tc>
          <w:tcPr>
            <w:tcW w:type="dxa" w:w="5838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Lista de herdeiros</w:t>
            </w:r>
          </w:p>
        </w:tc>
      </w:tr>
      <w:tr>
        <w:trPr>
          <w:cantSplit/>
        </w:trPr>
        <w:tc>
          <w:tcPr>
            <w:tcW w:type="dxa" w:w="38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{{lista.interessados}}</w:t>
            </w:r>
          </w:p>
        </w:tc>
        <w:tc>
          <w:tcPr>
            <w:tcW w:type="dxa" w:w="58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Lista de interessados</w:t>
            </w:r>
          </w:p>
        </w:tc>
      </w:tr>
      <w:tr>
        <w:trPr>
          <w:cantSplit/>
        </w:trPr>
        <w:tc>
          <w:tcPr>
            <w:tcW w:type="dxa" w:w="38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{{lista.bens}}</w:t>
            </w:r>
          </w:p>
        </w:tc>
        <w:tc>
          <w:tcPr>
            <w:tcW w:type="dxa" w:w="5838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Lista de bens</w:t>
            </w:r>
          </w:p>
        </w:tc>
      </w:tr>
      <w:tr>
        <w:trPr>
          <w:cantSplit/>
        </w:trPr>
        <w:tc>
          <w:tcPr>
            <w:tcW w:type="dxa" w:w="38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{{lista.bancos}}</w:t>
            </w:r>
          </w:p>
        </w:tc>
        <w:tc>
          <w:tcPr>
            <w:tcW w:type="dxa" w:w="58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Lista de bancos</w:t>
            </w:r>
          </w:p>
        </w:tc>
      </w:tr>
      <w:tr>
        <w:trPr>
          <w:cantSplit/>
        </w:trPr>
        <w:tc>
          <w:tcPr>
            <w:tcW w:type="dxa" w:w="38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{{lista.dividas}}</w:t>
            </w:r>
          </w:p>
        </w:tc>
        <w:tc>
          <w:tcPr>
            <w:tcW w:type="dxa" w:w="5838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Lista de dívidas</w:t>
            </w:r>
          </w:p>
        </w:tc>
      </w:tr>
      <w:tr>
        <w:trPr>
          <w:cantSplit/>
        </w:trPr>
        <w:tc>
          <w:tcPr>
            <w:tcW w:type="dxa" w:w="38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{{lista.documentos_em_falta}}</w:t>
            </w:r>
          </w:p>
        </w:tc>
        <w:tc>
          <w:tcPr>
            <w:tcW w:type="dxa" w:w="58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Documentos em falta</w:t>
            </w:r>
          </w:p>
        </w:tc>
      </w:tr>
      <w:tr>
        <w:trPr>
          <w:cantSplit/>
        </w:trPr>
        <w:tc>
          <w:tcPr>
            <w:tcW w:type="dxa" w:w="38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{{lista.proximas_acoes}}</w:t>
            </w:r>
          </w:p>
        </w:tc>
        <w:tc>
          <w:tcPr>
            <w:tcW w:type="dxa" w:w="5838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Próximas ações</w:t>
            </w:r>
          </w:p>
        </w:tc>
      </w:tr>
      <w:tr>
        <w:trPr>
          <w:cantSplit/>
        </w:trPr>
        <w:tc>
          <w:tcPr>
            <w:tcW w:type="dxa" w:w="38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{{lista.prazos}}</w:t>
            </w:r>
          </w:p>
        </w:tc>
        <w:tc>
          <w:tcPr>
            <w:tcW w:type="dxa" w:w="58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Próximos prazos</w:t>
            </w:r>
          </w:p>
        </w:tc>
      </w:tr>
    </w:tbl>
    <w:p>
      <w:pPr>
        <w:pStyle w:val="Heading1"/>
        <w:pageBreakBefore/>
      </w:pPr>
      <w:r>
        <w:t xml:space="preserve">Anexo E — Histórico das versões</w:t>
      </w:r>
    </w:p>
    <w:p>
      <w:pPr>
        <w:spacing w:after="120" w:line="276"/>
      </w:pPr>
      <w:r>
        <w:t xml:space="preserve">A aplicação foi construída em vinte ciclos, todos entregues — dez na versão 2.0 e dez na versão 2.1:</w:t>
      </w:r>
    </w:p>
    <w:tbl>
      <w:tblPr>
        <w:tblW w:type="dxa" w:w="9638"/>
        <w:tblBorders>
          <w:top w:val="single" w:color="D9DCE8" w:sz="4"/>
          <w:left w:val="single" w:color="D9DCE8" w:sz="4"/>
          <w:bottom w:val="single" w:color="D9DCE8" w:sz="4"/>
          <w:right w:val="single" w:color="D9DCE8" w:sz="4"/>
          <w:insideH w:val="single" w:color="D9DCE8" w:sz="4"/>
          <w:insideV w:val="single" w:color="D9DCE8" w:sz="4"/>
        </w:tblBorders>
      </w:tblPr>
      <w:tblGrid>
        <w:gridCol w:w="900"/>
        <w:gridCol w:w="2600"/>
        <w:gridCol w:w="6138"/>
      </w:tblGrid>
      <w:tr>
        <w:trPr>
          <w:tblHeader/>
        </w:trPr>
        <w:tc>
          <w:tcPr>
            <w:tcW w:type="dxa" w:w="900"/>
            <w:shd w:fill="EEF0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2D39B9"/>
                <w:sz w:val="19"/>
                <w:szCs w:val="19"/>
              </w:rPr>
              <w:t xml:space="preserve">Ciclo</w:t>
            </w:r>
          </w:p>
        </w:tc>
        <w:tc>
          <w:tcPr>
            <w:tcW w:type="dxa" w:w="2600"/>
            <w:shd w:fill="EEF0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2D39B9"/>
                <w:sz w:val="19"/>
                <w:szCs w:val="19"/>
              </w:rPr>
              <w:t xml:space="preserve">Tema</w:t>
            </w:r>
          </w:p>
        </w:tc>
        <w:tc>
          <w:tcPr>
            <w:tcW w:type="dxa" w:w="6138"/>
            <w:shd w:fill="EEF0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2D39B9"/>
                <w:sz w:val="19"/>
                <w:szCs w:val="19"/>
              </w:rPr>
              <w:t xml:space="preserve">Entregue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Fundação</w:t>
            </w:r>
          </w:p>
        </w:tc>
        <w:tc>
          <w:tcPr>
            <w:tcW w:type="dxa" w:w="61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Motor de regras (24 perguntas, 55 regras, 72 tarefas), dossiers, checklist, painel, bloqueios, definições, PWA offline.</w:t>
            </w:r>
          </w:p>
        </w:tc>
      </w:tr>
      <w:tr>
        <w:trPr>
          <w:cantSplit/>
        </w:trPr>
        <w:tc>
          <w:tcPr>
            <w:tcW w:type="dxa" w:w="9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Agenda e prazos</w:t>
            </w:r>
          </w:p>
        </w:tc>
        <w:tc>
          <w:tcPr>
            <w:tcW w:type="dxa" w:w="6138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Calendário português, eventos, exportação .ics, lembretes e notificações.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Calculadora sucessória</w:t>
            </w:r>
          </w:p>
        </w:tc>
        <w:tc>
          <w:tcPr>
            <w:tcW w:type="dxa" w:w="61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Quotas com frações exatas, legítima, meação, representação, inoficiosidade, árvore genealógica.</w:t>
            </w:r>
          </w:p>
        </w:tc>
      </w:tr>
      <w:tr>
        <w:trPr>
          <w:cantSplit/>
        </w:trPr>
        <w:tc>
          <w:tcPr>
            <w:tcW w:type="dxa" w:w="9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Documentos e minutas</w:t>
            </w:r>
          </w:p>
        </w:tc>
        <w:tc>
          <w:tcPr>
            <w:tcW w:type="dxa" w:w="6138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Checklist documental automática, anexos offline, 11 minutas-base, compositor com Word/PDF/email.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Relatórios</w:t>
            </w:r>
          </w:p>
        </w:tc>
        <w:tc>
          <w:tcPr>
            <w:tcW w:type="dxa" w:w="61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Relatório interno, ponto de situação, relação de bens, mapa de partilha, CSV.</w:t>
            </w:r>
          </w:p>
        </w:tc>
      </w:tr>
      <w:tr>
        <w:trPr>
          <w:cantSplit/>
        </w:trPr>
        <w:tc>
          <w:tcPr>
            <w:tcW w:type="dxa" w:w="9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Produtividade</w:t>
            </w:r>
          </w:p>
        </w:tc>
        <w:tc>
          <w:tcPr>
            <w:tcW w:type="dxa" w:w="6138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Paleta de comandos, as minhas tarefas, quadro Kanban, ações em massa, modelos de dossier.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Segurança</w:t>
            </w:r>
          </w:p>
        </w:tc>
        <w:tc>
          <w:tcPr>
            <w:tcW w:type="dxa" w:w="61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PIN e auto-bloqueio, cópias cifradas, modo privacidade, importação do protótipo, CSP.</w:t>
            </w:r>
          </w:p>
        </w:tc>
      </w:tr>
      <w:tr>
        <w:trPr>
          <w:cantSplit/>
        </w:trPr>
        <w:tc>
          <w:tcPr>
            <w:tcW w:type="dxa" w:w="9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Internacional</w:t>
            </w:r>
          </w:p>
        </w:tc>
        <w:tc>
          <w:tcPr>
            <w:tcW w:type="dxa" w:w="6138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Lei aplicável (Reg. 650/2012), CSE, documentos, prazos por país, entidades; relatório ao cliente em PT/FR/EN; 13 minutas.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Qualidade</w:t>
            </w:r>
          </w:p>
        </w:tc>
        <w:tc>
          <w:tcPr>
            <w:tcW w:type="dxa" w:w="61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Acessibilidade WCAG 2.2 AA (0 violações), divisão de código, fontes latinas, testes ponta a ponta na publicação.</w:t>
            </w:r>
          </w:p>
        </w:tc>
      </w:tr>
      <w:tr>
        <w:trPr>
          <w:cantSplit/>
        </w:trPr>
        <w:tc>
          <w:tcPr>
            <w:tcW w:type="dxa" w:w="9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26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Entrega</w:t>
            </w:r>
          </w:p>
        </w:tc>
        <w:tc>
          <w:tcPr>
            <w:tcW w:type="dxa" w:w="6138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Revisão final, manual e apresentação atualizados, resumo executivo.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Testes e invariantes</w:t>
            </w:r>
          </w:p>
        </w:tc>
        <w:tc>
          <w:tcPr>
            <w:tcW w:type="dxa" w:w="61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Testes de componentes, propriedades (fast-check), cobertura com limiar; correções encontradas pelos testes.</w:t>
            </w:r>
          </w:p>
        </w:tc>
      </w:tr>
      <w:tr>
        <w:trPr>
          <w:cantSplit/>
        </w:trPr>
        <w:tc>
          <w:tcPr>
            <w:tcW w:type="dxa" w:w="9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26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Motor jurídico</w:t>
            </w:r>
          </w:p>
        </w:tc>
        <w:tc>
          <w:tcPr>
            <w:tcW w:type="dxa" w:w="6138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27 perguntas, 59 regras e 80 modelos de tarefa (separação, herdeiros no estrangeiro ou de paradeiro desconhecido, contas conjuntas, seguros, dívidas fiscais, IRS da herança).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Prazos</w:t>
            </w:r>
          </w:p>
        </w:tc>
        <w:tc>
          <w:tcPr>
            <w:tcW w:type="dxa" w:w="61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Calculadora de prazos (dias corridos/úteis, meses, anos, férias judiciais) na barra lateral e na gaveta da tarefa.</w:t>
            </w:r>
          </w:p>
        </w:tc>
      </w:tr>
      <w:tr>
        <w:trPr>
          <w:cantSplit/>
        </w:trPr>
        <w:tc>
          <w:tcPr>
            <w:tcW w:type="dxa" w:w="9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14</w:t>
            </w:r>
          </w:p>
        </w:tc>
        <w:tc>
          <w:tcPr>
            <w:tcW w:type="dxa" w:w="26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Partilha entre colegas</w:t>
            </w:r>
          </w:p>
        </w:tc>
        <w:tc>
          <w:tcPr>
            <w:tcW w:type="dxa" w:w="6138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Exportar um dossier cifrado com anexos; importar/juntar com pré-visualização de conflitos e registo no histórico.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Cópias automáticas e partilha para a app</w:t>
            </w:r>
          </w:p>
        </w:tc>
        <w:tc>
          <w:tcPr>
            <w:tcW w:type="dxa" w:w="61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Cópias cifradas automáticas para uma pasta (rotação); Web Share Target e página «Recebidos».</w:t>
            </w:r>
          </w:p>
        </w:tc>
      </w:tr>
      <w:tr>
        <w:trPr>
          <w:cantSplit/>
        </w:trPr>
        <w:tc>
          <w:tcPr>
            <w:tcW w:type="dxa" w:w="9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16</w:t>
            </w:r>
          </w:p>
        </w:tc>
        <w:tc>
          <w:tcPr>
            <w:tcW w:type="dxa" w:w="26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Anular e reciclagem</w:t>
            </w:r>
          </w:p>
        </w:tc>
        <w:tc>
          <w:tcPr>
            <w:tcW w:type="dxa" w:w="6138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«Anular» em todas as ações reversíveis, reciclagem de 30 dias com reposição, histórico filtrável.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17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Análise da equipa</w:t>
            </w:r>
          </w:p>
        </w:tc>
        <w:tc>
          <w:tcPr>
            <w:tcW w:type="dxa" w:w="61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Métricas por mês, fase e pessoa com gráficos SVG acessíveis e tabela alternativa; CSV.</w:t>
            </w:r>
          </w:p>
        </w:tc>
      </w:tr>
      <w:tr>
        <w:trPr>
          <w:cantSplit/>
        </w:trPr>
        <w:tc>
          <w:tcPr>
            <w:tcW w:type="dxa" w:w="9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18</w:t>
            </w:r>
          </w:p>
        </w:tc>
        <w:tc>
          <w:tcPr>
            <w:tcW w:type="dxa" w:w="26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Pesquisa e vistas</w:t>
            </w:r>
          </w:p>
        </w:tc>
        <w:tc>
          <w:tcPr>
            <w:tcW w:type="dxa" w:w="6138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Filtros avançados no endereço, vistas predefinidas e guardadas, pesquisa profunda e global.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19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Documentos avançados</w:t>
            </w:r>
          </w:p>
        </w:tc>
        <w:tc>
          <w:tcPr>
            <w:tcW w:type="dxa" w:w="61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Validade das certidões, pedidos por interessado, pré-visualização, estados em lote.</w:t>
            </w:r>
          </w:p>
        </w:tc>
      </w:tr>
      <w:tr>
        <w:trPr>
          <w:cantSplit/>
        </w:trPr>
        <w:tc>
          <w:tcPr>
            <w:tcW w:type="dxa" w:w="9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W w:type="dxa" w:w="26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Consolidação</w:t>
            </w:r>
          </w:p>
        </w:tc>
        <w:tc>
          <w:tcPr>
            <w:tcW w:type="dxa" w:w="6138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Auditoria de acessibilidade (23 ecrãs), 212 testes e 16 passos ponta a ponta, manual e apresentação atualizados, versão 2.1.</w:t>
            </w:r>
          </w:p>
        </w:tc>
      </w:tr>
    </w:tbl>
    <w:p>
      <w:pPr>
        <w:pStyle w:val="Heading1"/>
        <w:pageBreakBefore/>
      </w:pPr>
      <w:r>
        <w:t xml:space="preserve">Anexo F — Prazos de referência noutros países</w:t>
      </w:r>
    </w:p>
    <w:p>
      <w:pPr>
        <w:spacing w:after="120" w:line="276"/>
      </w:pPr>
      <w:r>
        <w:t xml:space="preserve">Usados pelo separador Internacional (contados do óbito). Referências a validar com colega local.</w:t>
      </w:r>
    </w:p>
    <w:tbl>
      <w:tblPr>
        <w:tblW w:type="dxa" w:w="9638"/>
        <w:tblBorders>
          <w:top w:val="single" w:color="D9DCE8" w:sz="4"/>
          <w:left w:val="single" w:color="D9DCE8" w:sz="4"/>
          <w:bottom w:val="single" w:color="D9DCE8" w:sz="4"/>
          <w:right w:val="single" w:color="D9DCE8" w:sz="4"/>
          <w:insideH w:val="single" w:color="D9DCE8" w:sz="4"/>
          <w:insideV w:val="single" w:color="D9DCE8" w:sz="4"/>
        </w:tblBorders>
      </w:tblPr>
      <w:tblGrid>
        <w:gridCol w:w="1700"/>
        <w:gridCol w:w="3300"/>
        <w:gridCol w:w="1300"/>
        <w:gridCol w:w="3338"/>
      </w:tblGrid>
      <w:tr>
        <w:trPr>
          <w:tblHeader/>
        </w:trPr>
        <w:tc>
          <w:tcPr>
            <w:tcW w:type="dxa" w:w="1700"/>
            <w:shd w:fill="EEF0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2D39B9"/>
                <w:sz w:val="19"/>
                <w:szCs w:val="19"/>
              </w:rPr>
              <w:t xml:space="preserve">País</w:t>
            </w:r>
          </w:p>
        </w:tc>
        <w:tc>
          <w:tcPr>
            <w:tcW w:type="dxa" w:w="3300"/>
            <w:shd w:fill="EEF0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2D39B9"/>
                <w:sz w:val="19"/>
                <w:szCs w:val="19"/>
              </w:rPr>
              <w:t xml:space="preserve">Prazo</w:t>
            </w:r>
          </w:p>
        </w:tc>
        <w:tc>
          <w:tcPr>
            <w:tcW w:type="dxa" w:w="1300"/>
            <w:shd w:fill="EEF0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2D39B9"/>
                <w:sz w:val="19"/>
                <w:szCs w:val="19"/>
              </w:rPr>
              <w:t xml:space="preserve">Contagem</w:t>
            </w:r>
          </w:p>
        </w:tc>
        <w:tc>
          <w:tcPr>
            <w:tcW w:type="dxa" w:w="3338"/>
            <w:shd w:fill="EEF0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2D39B9"/>
                <w:sz w:val="19"/>
                <w:szCs w:val="19"/>
              </w:rPr>
              <w:t xml:space="preserve">Base legal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Portugal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Participação do óbito às Finanças (Imposto do Selo)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3 meses</w:t>
            </w:r>
          </w:p>
        </w:tc>
        <w:tc>
          <w:tcPr>
            <w:tcW w:type="dxa" w:w="33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CIS, art. 26.º, n.º 3 — Até ao fim do 3.º mês seguinte ao do óbito.</w:t>
            </w:r>
          </w:p>
        </w:tc>
      </w:tr>
      <w:tr>
        <w:trPr>
          <w:cantSplit/>
        </w:trPr>
        <w:tc>
          <w:tcPr>
            <w:tcW w:type="dxa" w:w="17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França</w:t>
            </w:r>
          </w:p>
        </w:tc>
        <w:tc>
          <w:tcPr>
            <w:tcW w:type="dxa" w:w="33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Déclaration de succession (óbito em França)</w:t>
            </w:r>
          </w:p>
        </w:tc>
        <w:tc>
          <w:tcPr>
            <w:tcW w:type="dxa" w:w="13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6 meses</w:t>
            </w:r>
          </w:p>
        </w:tc>
        <w:tc>
          <w:tcPr>
            <w:tcW w:type="dxa" w:w="3338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Code général des impôts, art. 641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França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Déclaration de succession (óbito fora de França)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12 meses</w:t>
            </w:r>
          </w:p>
        </w:tc>
        <w:tc>
          <w:tcPr>
            <w:tcW w:type="dxa" w:w="33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Code général des impôts, art. 641</w:t>
            </w:r>
          </w:p>
        </w:tc>
      </w:tr>
      <w:tr>
        <w:trPr>
          <w:cantSplit/>
        </w:trPr>
        <w:tc>
          <w:tcPr>
            <w:tcW w:type="dxa" w:w="17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Espanha</w:t>
            </w:r>
          </w:p>
        </w:tc>
        <w:tc>
          <w:tcPr>
            <w:tcW w:type="dxa" w:w="33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Impuesto sobre Sucesiones y Donaciones (autoliquidação)</w:t>
            </w:r>
          </w:p>
        </w:tc>
        <w:tc>
          <w:tcPr>
            <w:tcW w:type="dxa" w:w="13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6 meses</w:t>
            </w:r>
          </w:p>
        </w:tc>
        <w:tc>
          <w:tcPr>
            <w:tcW w:type="dxa" w:w="3338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Reglamento del ISD (RD 1629/1991), art. 67 — Prorrogável por mais 6 meses se pedido nos primeiros 5.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Luxemburgo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Déclaration de succession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6 meses</w:t>
            </w:r>
          </w:p>
        </w:tc>
        <w:tc>
          <w:tcPr>
            <w:tcW w:type="dxa" w:w="33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Loi du 27 décembre 1817 sur les droits de succession — Prazos mais longos quando o óbito ocorre no estrangeiro — confirmar com a Administration de l’enregistrement.</w:t>
            </w:r>
          </w:p>
        </w:tc>
      </w:tr>
      <w:tr>
        <w:trPr>
          <w:cantSplit/>
        </w:trPr>
        <w:tc>
          <w:tcPr>
            <w:tcW w:type="dxa" w:w="17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Alemanha</w:t>
            </w:r>
          </w:p>
        </w:tc>
        <w:tc>
          <w:tcPr>
            <w:tcW w:type="dxa" w:w="33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Comunicação da aquisição ao Finanzamt (Erbschaftsteuer)</w:t>
            </w:r>
          </w:p>
        </w:tc>
        <w:tc>
          <w:tcPr>
            <w:tcW w:type="dxa" w:w="13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3 meses</w:t>
            </w:r>
          </w:p>
        </w:tc>
        <w:tc>
          <w:tcPr>
            <w:tcW w:type="dxa" w:w="3338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ErbStG, § 30 — Contado do conhecimento da aquisição; a declaração é pedida depois pelo Finanzamt.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Bélgica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Déclaration de succession (óbito na Bélgica)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4 meses</w:t>
            </w:r>
          </w:p>
        </w:tc>
        <w:tc>
          <w:tcPr>
            <w:tcW w:type="dxa" w:w="33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Code des droits de succession, art. 40</w:t>
            </w:r>
          </w:p>
        </w:tc>
      </w:tr>
      <w:tr>
        <w:trPr>
          <w:cantSplit/>
        </w:trPr>
        <w:tc>
          <w:tcPr>
            <w:tcW w:type="dxa" w:w="17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Bélgica</w:t>
            </w:r>
          </w:p>
        </w:tc>
        <w:tc>
          <w:tcPr>
            <w:tcW w:type="dxa" w:w="33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Déclaration de succession (óbito noutro país europeu)</w:t>
            </w:r>
          </w:p>
        </w:tc>
        <w:tc>
          <w:tcPr>
            <w:tcW w:type="dxa" w:w="13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5 meses</w:t>
            </w:r>
          </w:p>
        </w:tc>
        <w:tc>
          <w:tcPr>
            <w:tcW w:type="dxa" w:w="3338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Code des droits de succession, art. 40 — 6 meses se o óbito ocorreu fora da Europa.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Países Baixos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Aangifte erfbelasting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8 meses</w:t>
            </w:r>
          </w:p>
        </w:tc>
        <w:tc>
          <w:tcPr>
            <w:tcW w:type="dxa" w:w="33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Successiewet 1956 / AWR, art. 9 — Prorrogação possível a pedido.</w:t>
            </w:r>
          </w:p>
        </w:tc>
      </w:tr>
      <w:tr>
        <w:trPr>
          <w:cantSplit/>
        </w:trPr>
        <w:tc>
          <w:tcPr>
            <w:tcW w:type="dxa" w:w="17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Reino Unido</w:t>
            </w:r>
          </w:p>
        </w:tc>
        <w:tc>
          <w:tcPr>
            <w:tcW w:type="dxa" w:w="33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Pagamento do Inheritance Tax</w:t>
            </w:r>
          </w:p>
        </w:tc>
        <w:tc>
          <w:tcPr>
            <w:tcW w:type="dxa" w:w="13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6 meses</w:t>
            </w:r>
          </w:p>
        </w:tc>
        <w:tc>
          <w:tcPr>
            <w:tcW w:type="dxa" w:w="3338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IHTA 1984, s. 226 — Até ao fim do 6.º mês seguinte ao do óbito; juros a partir daí.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Reino Unido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Entrega da conta IHT400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12 meses</w:t>
            </w:r>
          </w:p>
        </w:tc>
        <w:tc>
          <w:tcPr>
            <w:tcW w:type="dxa" w:w="33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IHTA 1984, s. 216 — Até ao fim do 12.º mês seguinte ao do óbito.</w:t>
            </w:r>
          </w:p>
        </w:tc>
      </w:tr>
      <w:tr>
        <w:trPr>
          <w:cantSplit/>
        </w:trPr>
        <w:tc>
          <w:tcPr>
            <w:tcW w:type="dxa" w:w="17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Brasil</w:t>
            </w:r>
          </w:p>
        </w:tc>
        <w:tc>
          <w:tcPr>
            <w:tcW w:type="dxa" w:w="33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Abertura do inventário</w:t>
            </w:r>
          </w:p>
        </w:tc>
        <w:tc>
          <w:tcPr>
            <w:tcW w:type="dxa" w:w="13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2 meses</w:t>
            </w:r>
          </w:p>
        </w:tc>
        <w:tc>
          <w:tcPr>
            <w:tcW w:type="dxa" w:w="3338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Código de Processo Civil, art. 611 — Conclusão em 12 meses; ITCMD estadual com prazos próprios.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Estados Unidos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Federal estate tax return (Form 706)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9 meses</w:t>
            </w:r>
          </w:p>
        </w:tc>
        <w:tc>
          <w:tcPr>
            <w:tcW w:type="dxa" w:w="33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IRC § 6075(a) — Prorrogação de 6 meses possível; probate estadual.</w:t>
            </w:r>
          </w:p>
        </w:tc>
      </w:tr>
      <w:tr>
        <w:trPr>
          <w:cantSplit/>
        </w:trPr>
        <w:tc>
          <w:tcPr>
            <w:tcW w:type="dxa" w:w="17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Canadá</w:t>
            </w:r>
          </w:p>
        </w:tc>
        <w:tc>
          <w:tcPr>
            <w:tcW w:type="dxa" w:w="33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Declaração final de rendimentos (T1) do falecido</w:t>
            </w:r>
          </w:p>
        </w:tc>
        <w:tc>
          <w:tcPr>
            <w:tcW w:type="dxa" w:w="13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6 meses</w:t>
            </w:r>
          </w:p>
        </w:tc>
        <w:tc>
          <w:tcPr>
            <w:tcW w:type="dxa" w:w="3338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Income Tax Act, s. 150(1)(b) — 30 de abril do ano seguinte, ou 6 meses após o óbito se este ocorreu após outubro.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Venezuela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Declaración sucesoral (SENIAT)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180 dias</w:t>
            </w:r>
          </w:p>
        </w:tc>
        <w:tc>
          <w:tcPr>
            <w:tcW w:type="dxa" w:w="33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Ley de Impuesto sobre Sucesiones, art. 27 — 180 dias hábeis — confirmar contagem.</w:t>
            </w:r>
          </w:p>
        </w:tc>
      </w:tr>
      <w:tr>
        <w:trPr>
          <w:cantSplit/>
        </w:trPr>
        <w:tc>
          <w:tcPr>
            <w:tcW w:type="dxa" w:w="17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África do Sul</w:t>
            </w:r>
          </w:p>
        </w:tc>
        <w:tc>
          <w:tcPr>
            <w:tcW w:type="dxa" w:w="33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Comunicação do óbito ao Master of the High Court</w:t>
            </w:r>
          </w:p>
        </w:tc>
        <w:tc>
          <w:tcPr>
            <w:tcW w:type="dxa" w:w="13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14 dias</w:t>
            </w:r>
          </w:p>
        </w:tc>
        <w:tc>
          <w:tcPr>
            <w:tcW w:type="dxa" w:w="3338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Administration of Estates Act 66/1965, s. 7</w:t>
            </w:r>
          </w:p>
        </w:tc>
      </w:tr>
    </w:tbl>
    <w:p>
      <w:pPr>
        <w:spacing w:after="120" w:line="276"/>
      </w:pPr>
      <w:r>
        <w:t xml:space="preserve">Regime de documentos: Estados-Membros da UE — formulários multilingues sem apostila (Reg. (UE) 2016/1191); países da Convenção da Haia — apostila; restantes — legalização consular. Vinculados ao Regulamento 650/2012: todos os Estados-Membros exceto Dinamarca e Irlanda.</w:t>
      </w:r>
    </w:p>
    <w:p>
      <w:pPr>
        <w:pStyle w:val="Heading1"/>
        <w:pageBreakBefore/>
      </w:pPr>
      <w:r>
        <w:t xml:space="preserve">Anexo G — Ficha técnica</w:t>
      </w:r>
    </w:p>
    <w:tbl>
      <w:tblPr>
        <w:tblW w:type="dxa" w:w="9638"/>
        <w:tblBorders>
          <w:top w:val="single" w:color="D9DCE8" w:sz="4"/>
          <w:left w:val="single" w:color="D9DCE8" w:sz="4"/>
          <w:bottom w:val="single" w:color="D9DCE8" w:sz="4"/>
          <w:right w:val="single" w:color="D9DCE8" w:sz="4"/>
          <w:insideH w:val="single" w:color="D9DCE8" w:sz="4"/>
          <w:insideV w:val="single" w:color="D9DCE8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shd w:fill="EEF0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2D39B9"/>
                <w:sz w:val="19"/>
                <w:szCs w:val="19"/>
              </w:rPr>
              <w:t xml:space="preserve">Item</w:t>
            </w:r>
          </w:p>
        </w:tc>
        <w:tc>
          <w:tcPr>
            <w:tcW w:type="dxa" w:w="7238"/>
            <w:shd w:fill="EEF0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2D39B9"/>
                <w:sz w:val="19"/>
                <w:szCs w:val="19"/>
              </w:rPr>
              <w:t xml:space="preserve">Detalhe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Tipo</w:t>
            </w:r>
          </w:p>
        </w:tc>
        <w:tc>
          <w:tcPr>
            <w:tcW w:type="dxa" w:w="7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Aplicação web progressiva (PWA) instalável; funciona offline; sem servidores.</w:t>
            </w:r>
          </w:p>
        </w:tc>
      </w:tr>
      <w:tr>
        <w:trPr>
          <w:cantSplit/>
        </w:trPr>
        <w:tc>
          <w:tcPr>
            <w:tcW w:type="dxa" w:w="24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Endereço</w:t>
            </w:r>
          </w:p>
        </w:tc>
        <w:tc>
          <w:tcPr>
            <w:tcW w:type="dxa" w:w="7238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https://nelsonsous.github.io/balcao-sucessoes/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Código-fonte</w:t>
            </w:r>
          </w:p>
        </w:tc>
        <w:tc>
          <w:tcPr>
            <w:tcW w:type="dxa" w:w="7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https://github.com/nelsonsous/balcao-sucessoes</w:t>
            </w:r>
          </w:p>
        </w:tc>
      </w:tr>
      <w:tr>
        <w:trPr>
          <w:cantSplit/>
        </w:trPr>
        <w:tc>
          <w:tcPr>
            <w:tcW w:type="dxa" w:w="24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Tecnologias</w:t>
            </w:r>
          </w:p>
        </w:tc>
        <w:tc>
          <w:tcPr>
            <w:tcW w:type="dxa" w:w="7238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React 19, TypeScript (modo estrito), Vite, Workbox (service worker), Dexie/IndexedDB, wouter, lucide-react, fflate.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Motor de regras</w:t>
            </w:r>
          </w:p>
        </w:tc>
        <w:tc>
          <w:tcPr>
            <w:tcW w:type="dxa" w:w="7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27 perguntas · 59 regras · 80 modelos de tarefa · 10 fases · 5 estados · prazos calculados a partir da data do óbito · calculadora de prazos (CC art. 279.º, CPC art. 138.º) · 4 modelos-base de dossier.</w:t>
            </w:r>
          </w:p>
        </w:tc>
      </w:tr>
      <w:tr>
        <w:trPr>
          <w:cantSplit/>
        </w:trPr>
        <w:tc>
          <w:tcPr>
            <w:tcW w:type="dxa" w:w="24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Internacional</w:t>
            </w:r>
          </w:p>
        </w:tc>
        <w:tc>
          <w:tcPr>
            <w:tcW w:type="dxa" w:w="7238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Lei aplicável e competência (Reg. (UE) 650/2012), CSE, regime de documentos por país, prazos de referência em 16 países.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Segurança</w:t>
            </w:r>
          </w:p>
        </w:tc>
        <w:tc>
          <w:tcPr>
            <w:tcW w:type="dxa" w:w="7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PIN (PBKDF2-SHA256), cópias cifradas (AES-256-GCM, PBKDF2 250 000 iterações), cópias automáticas para pasta (File System Access API), partilha de dossier cifrada, modo privacidade, Content Security Policy.</w:t>
            </w:r>
          </w:p>
        </w:tc>
      </w:tr>
      <w:tr>
        <w:trPr>
          <w:cantSplit/>
        </w:trPr>
        <w:tc>
          <w:tcPr>
            <w:tcW w:type="dxa" w:w="24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Colaboração e recuperação</w:t>
            </w:r>
          </w:p>
        </w:tc>
        <w:tc>
          <w:tcPr>
            <w:tcW w:type="dxa" w:w="7238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Partilha de dossier entre colegas com junção por regras; Web Share Target (Android); «anular» e reciclagem de 30 dias; análise da equipa; filtros no endereço e vistas guardadas.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Calendário</w:t>
            </w:r>
          </w:p>
        </w:tc>
        <w:tc>
          <w:tcPr>
            <w:tcW w:type="dxa" w:w="7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Páscoa (Meeus), 13 feriados nacionais, Carnaval, feriado municipal, férias judiciais, dias úteis; exportação iCalendar (RFC 5545).</w:t>
            </w:r>
          </w:p>
        </w:tc>
      </w:tr>
      <w:tr>
        <w:trPr>
          <w:cantSplit/>
        </w:trPr>
        <w:tc>
          <w:tcPr>
            <w:tcW w:type="dxa" w:w="24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Documentos</w:t>
            </w:r>
          </w:p>
        </w:tc>
        <w:tc>
          <w:tcPr>
            <w:tcW w:type="dxa" w:w="7238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Checklist documental automática (10 categorias), validade das certidões, pedidos por interessado, pré-visualização, anexos até 25 MB guardados offline, 13 minutas-base (PT/FR/EN) e 4 relatórios em .docx (Office Open XML) com tabelas, PDF e email; exportação CSV.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Qualidade</w:t>
            </w:r>
          </w:p>
        </w:tc>
        <w:tc>
          <w:tcPr>
            <w:tcW w:type="dxa" w:w="7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212 testes (unitários, componentes e propriedades, com limiar de cobertura) e 16 passos ponta a ponta (Chrome) executados em cada publicação; 0 violações axe-core (WCAG 2.2 AA) em 23 ecrãs; divisão de código por rota e separador.</w:t>
            </w:r>
          </w:p>
        </w:tc>
      </w:tr>
      <w:tr>
        <w:trPr>
          <w:cantSplit/>
        </w:trPr>
        <w:tc>
          <w:tcPr>
            <w:tcW w:type="dxa" w:w="2400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Publicação</w:t>
            </w:r>
          </w:p>
        </w:tc>
        <w:tc>
          <w:tcPr>
            <w:tcW w:type="dxa" w:w="7238"/>
            <w:shd w:fill="F7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GitHub Pages através de GitHub Actions: testes → compilação → publicação.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Idioma</w:t>
            </w:r>
          </w:p>
        </w:tc>
        <w:tc>
          <w:tcPr>
            <w:tcW w:type="dxa" w:w="7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Interface em português de Portugal; minutas e ponto de situação ao cliente em PT, FR e EN.</w:t>
            </w:r>
          </w:p>
        </w:tc>
      </w:tr>
    </w:tbl>
    <w:sectPr>
      <w:headerReference w:type="default" r:id="rId7"/>
      <w:footerReference w:type="default" r:id="rId8"/>
      <w:type w:val="nextPage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  <w:spacing w:after="0" w:before="0"/>
    </w:pPr>
    <w:r>
      <w:rPr>
        <w:color w:val="5B6180"/>
        <w:sz w:val="16"/>
        <w:szCs w:val="16"/>
      </w:rPr>
      <w:t xml:space="preserve">Balcão das Sucessões · Manual do utilizador</w:t>
    </w:r>
    <w:r>
      <w:rPr>
        <w:color w:val="5B6180"/>
        <w:sz w:val="16"/>
        <w:szCs w:val="16"/>
      </w:rPr>
      <w:t xml:space="preserve">	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color w:val="5B6180"/>
        <w:sz w:val="16"/>
        <w:szCs w:val="16"/>
      </w:rPr>
      <w:t xml:space="preserve">Versão 2.1 · edição completa (20 iterações) · 17 de setembro de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1F3B"/>
        <w:sz w:val="22"/>
        <w:szCs w:val="22"/>
        <w:lang w:val="pt-PT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mbria" w:cs="Cambria" w:eastAsia="Cambria" w:hAnsi="Cambria"/>
      <w:b/>
      <w:bCs/>
      <w:color w:val="1B1F3B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spacing w:after="120" w:before="300"/>
      <w:outlineLvl w:val="1"/>
    </w:pPr>
    <w:rPr>
      <w:rFonts w:ascii="Cambria" w:cs="Cambria" w:eastAsia="Cambria" w:hAnsi="Cambria"/>
      <w:b/>
      <w:bCs/>
      <w:color w:val="2D39B9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Calibri" w:cs="Calibri" w:eastAsia="Calibri" w:hAnsi="Calibri"/>
      <w:b/>
      <w:bCs/>
      <w:color w:val="1B1F3B"/>
      <w:sz w:val="24"/>
      <w:szCs w:val="24"/>
    </w:rPr>
  </w:style>
  <w:style w:type="paragraph" w:styleId="Hyperlink">
    <w:name w:val="Hyperlink"/>
    <w:basedOn w:val="DefaultParagraphFont"/>
    <w:rPr>
      <w:color w:val="2D39B9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f07717hgyuw_wh58i_luh" Type="http://schemas.openxmlformats.org/officeDocument/2006/relationships/hyperlink" Target="https://nelsonsous.github.io/balcao-sucessoes/" TargetMode="External"/><Relationship Id="rIddzzarfmkzgzxhbsevomoi" Type="http://schemas.openxmlformats.org/officeDocument/2006/relationships/hyperlink" Target="https://nelsonsous.github.io/balcao-sucessoes/" TargetMode="External"/><Relationship Id="rId9" Type="http://schemas.openxmlformats.org/officeDocument/2006/relationships/image" Target="media/0531fc168268683a2baf72beb629308e921b6129.jpg"/><Relationship Id="rId10" Type="http://schemas.openxmlformats.org/officeDocument/2006/relationships/image" Target="media/d869bf28478c3bf142307ec53d0a36178383bcf9.jpg"/><Relationship Id="rId11" Type="http://schemas.openxmlformats.org/officeDocument/2006/relationships/image" Target="media/7f6c50ecabc4f5cf01c1fb0105177b3f2bdf868b.jpg"/><Relationship Id="rId12" Type="http://schemas.openxmlformats.org/officeDocument/2006/relationships/image" Target="media/c7cbace040684a00d04335b35f2617b056a19ea9.jpg"/><Relationship Id="rId13" Type="http://schemas.openxmlformats.org/officeDocument/2006/relationships/image" Target="media/22350f7a3c1fd658aaf7e0ab83332526ff42213a.jpg"/><Relationship Id="rId14" Type="http://schemas.openxmlformats.org/officeDocument/2006/relationships/image" Target="media/d6361cb34c45f22627154b22675ea903f34f5c24.jpg"/><Relationship Id="rId15" Type="http://schemas.openxmlformats.org/officeDocument/2006/relationships/image" Target="media/9b5f68eb9deba182c78f0a5133797b5f7f785b9b.jpg"/><Relationship Id="rId16" Type="http://schemas.openxmlformats.org/officeDocument/2006/relationships/image" Target="media/bc1c3e319ef43d343eda7e752a5b378a0dc474bd.jpg"/><Relationship Id="rId17" Type="http://schemas.openxmlformats.org/officeDocument/2006/relationships/image" Target="media/a6885cf44d570e03b5e2137825616fda2b443f3b.jpg"/><Relationship Id="rId18" Type="http://schemas.openxmlformats.org/officeDocument/2006/relationships/image" Target="media/5417c85b21f396f533a195c4a2fe0de0707efdfc.jpg"/><Relationship Id="rId19" Type="http://schemas.openxmlformats.org/officeDocument/2006/relationships/image" Target="media/6dbfcf9c2d6b7dbd91fb4bf661e2dd655cdbe0e3.jpg"/><Relationship Id="rId20" Type="http://schemas.openxmlformats.org/officeDocument/2006/relationships/image" Target="media/a0f493807fab349d5c21ad68fb1f94dfe4ced282.jpg"/><Relationship Id="rId21" Type="http://schemas.openxmlformats.org/officeDocument/2006/relationships/image" Target="media/068950ec1961c7d220c2a307287cd6c016885de1.jpg"/><Relationship Id="rId22" Type="http://schemas.openxmlformats.org/officeDocument/2006/relationships/image" Target="media/f106df45f2e6bb73d377597312952f970c8f55e7.jpg"/><Relationship Id="rId23" Type="http://schemas.openxmlformats.org/officeDocument/2006/relationships/image" Target="media/e26a0cf12bcacb67524346dea2dffd5362efe7fe.jpg"/><Relationship Id="rId24" Type="http://schemas.openxmlformats.org/officeDocument/2006/relationships/image" Target="media/adefefda8bcf2aab50e9cd9fd79f3c227bc45211.jpg"/><Relationship Id="rId25" Type="http://schemas.openxmlformats.org/officeDocument/2006/relationships/image" Target="media/74d119f3cbfd13ab0af6c8c989a729f1d4f4bec7.jpg"/><Relationship Id="rId26" Type="http://schemas.openxmlformats.org/officeDocument/2006/relationships/image" Target="media/e8d0f23af85244773b1709522baf87e3f2da3d66.jpg"/><Relationship Id="rId27" Type="http://schemas.openxmlformats.org/officeDocument/2006/relationships/image" Target="media/09116de6ca0a7a042fcd106f2035a314962e0532.jpg"/><Relationship Id="rId28" Type="http://schemas.openxmlformats.org/officeDocument/2006/relationships/image" Target="media/418002276453146166150b067176f848d8402ad5.jpg"/><Relationship Id="rId29" Type="http://schemas.openxmlformats.org/officeDocument/2006/relationships/image" Target="media/b4daecfb1f9cc106be7cbb7f71c3bf978ff75cb1.jpg"/><Relationship Id="rId30" Type="http://schemas.openxmlformats.org/officeDocument/2006/relationships/image" Target="media/49e81321fc7aa137a30d3a8473be4914858f8171.jpg"/><Relationship Id="rId31" Type="http://schemas.openxmlformats.org/officeDocument/2006/relationships/image" Target="media/950a55a7d9a512d91fe87ef1bc7511909c7fbb12.jpg"/><Relationship Id="rId32" Type="http://schemas.openxmlformats.org/officeDocument/2006/relationships/image" Target="media/73a7c82cbc96139998005f4025027845c1aa9cf3.jpg"/><Relationship Id="rId33" Type="http://schemas.openxmlformats.org/officeDocument/2006/relationships/image" Target="media/bb19a4b29080b8c3572a328d82893baaaf7bf0e8.jpg"/><Relationship Id="rId34" Type="http://schemas.openxmlformats.org/officeDocument/2006/relationships/image" Target="media/bc19bab7e3e32eeb1ca6fbf5f1b598b08c72a65e.jpg"/><Relationship Id="rId35" Type="http://schemas.openxmlformats.org/officeDocument/2006/relationships/image" Target="media/38be1a8e2158d6854b934a64e5bae2ea0d20ce72.jpg"/><Relationship Id="rId36" Type="http://schemas.openxmlformats.org/officeDocument/2006/relationships/image" Target="media/7d5463127a90c1f70728f0bf45f47b887c23dd5c.jpg"/><Relationship Id="rId37" Type="http://schemas.openxmlformats.org/officeDocument/2006/relationships/image" Target="media/d858efb7abc9bda65059b8448a6b38041731115b.jpg"/><Relationship Id="rId38" Type="http://schemas.openxmlformats.org/officeDocument/2006/relationships/image" Target="media/9c7ad2e77a93aca079b3a51ad7f2ff64d40fc8d3.jpg"/><Relationship Id="rId39" Type="http://schemas.openxmlformats.org/officeDocument/2006/relationships/image" Target="media/5d292d5d9549db3a9e63f47c40dc7c2edfce5531.jpg"/><Relationship Id="rId40" Type="http://schemas.openxmlformats.org/officeDocument/2006/relationships/image" Target="media/bca3b183d89b31c5616f7bfdcf33b8940b1ca4af.jpg"/><Relationship Id="rId41" Type="http://schemas.openxmlformats.org/officeDocument/2006/relationships/image" Target="media/1a79c9fa46e739ddc1b0d6992140304b2cb51846.jpg"/><Relationship Id="rId42" Type="http://schemas.openxmlformats.org/officeDocument/2006/relationships/image" Target="media/b419108186039926288f0ae3a2cd280d4b715248.jpg"/><Relationship Id="rId43" Type="http://schemas.openxmlformats.org/officeDocument/2006/relationships/image" Target="media/eedc8ef55f0be8ab86f16c3213ca3be623920c83.jpg"/><Relationship Id="rId44" Type="http://schemas.openxmlformats.org/officeDocument/2006/relationships/image" Target="media/b19f2a22125f6103df3b89344cd669b31443f777.jpg"/><Relationship Id="rId45" Type="http://schemas.openxmlformats.org/officeDocument/2006/relationships/image" Target="media/5b8dc49edebf357d93fe6e3379fff0b008fd49a8.jpg"/><Relationship Id="rId46" Type="http://schemas.openxmlformats.org/officeDocument/2006/relationships/image" Target="media/35e7d9bc8f7ce692d4fc5aa16b93e7f70725905b.jpg"/><Relationship Id="rId47" Type="http://schemas.openxmlformats.org/officeDocument/2006/relationships/image" Target="media/c59f386231b71e01f4f67a8139b6546ea0c5c63b.jpg"/><Relationship Id="rId48" Type="http://schemas.openxmlformats.org/officeDocument/2006/relationships/image" Target="media/08473054f75915de8a24460c6ac2deeb7cf57fa5.jpg"/><Relationship Id="rId49" Type="http://schemas.openxmlformats.org/officeDocument/2006/relationships/image" Target="media/700a56802601d77fce7f137b45929c519bc69f7c.jpg"/><Relationship Id="rId50" Type="http://schemas.openxmlformats.org/officeDocument/2006/relationships/image" Target="media/7bd4d609abab112db50533baa75b2819fcec44d6.jpg"/><Relationship Id="rId51" Type="http://schemas.openxmlformats.org/officeDocument/2006/relationships/image" Target="media/cb5452c7000e56923928b36cdd3297b6d59d53c2.jpg"/><Relationship Id="rId52" Type="http://schemas.openxmlformats.org/officeDocument/2006/relationships/image" Target="media/51287959b3b7b42a5095a5870adedc37d04a99e4.jpg"/><Relationship Id="rId53" Type="http://schemas.openxmlformats.org/officeDocument/2006/relationships/image" Target="media/8b75513963a1eeae2a6da779109f7183ccfec5c2.jpg"/><Relationship Id="rId54" Type="http://schemas.openxmlformats.org/officeDocument/2006/relationships/image" Target="media/fcf7075785562ad1051ca2aaec443b2b55000ca5.jpg"/><Relationship Id="rId55" Type="http://schemas.openxmlformats.org/officeDocument/2006/relationships/image" Target="media/417c170fd484d32a81f5cd049e035bd8818c9f35.jpg"/><Relationship Id="rId56" Type="http://schemas.openxmlformats.org/officeDocument/2006/relationships/image" Target="media/58ae5b96b2d71a4ada526f8b4614eb8c0723d9fa.jpg"/><Relationship Id="rId57" Type="http://schemas.openxmlformats.org/officeDocument/2006/relationships/image" Target="media/26218816278c66af27260bf405b78cd2c245f32c.jpg"/><Relationship Id="rId58" Type="http://schemas.openxmlformats.org/officeDocument/2006/relationships/image" Target="media/6da02d42ae5e5d60dfd2fe2c34cf2790154f9084.jpg"/><Relationship Id="rId59" Type="http://schemas.openxmlformats.org/officeDocument/2006/relationships/image" Target="media/0358d37c818020447d4b6d6b37c139808d0ef85d.jpg"/><Relationship Id="rId60" Type="http://schemas.openxmlformats.org/officeDocument/2006/relationships/image" Target="media/8564e12987b6c5a60a92859807f0c6bb332714ec.jpg"/><Relationship Id="rId61" Type="http://schemas.openxmlformats.org/officeDocument/2006/relationships/image" Target="media/998a1eda2a5a29da6ff70e2c319c92696bf6f375.jpg"/><Relationship Id="rId62" Type="http://schemas.openxmlformats.org/officeDocument/2006/relationships/image" Target="media/173b9a462499451fc5372a14c741423811ac79e3.jpg"/><Relationship Id="rId63" Type="http://schemas.openxmlformats.org/officeDocument/2006/relationships/image" Target="media/e53bed501feb97c4ca12a41cff76e83f686c1fcc.jpg"/><Relationship Id="rId64" Type="http://schemas.openxmlformats.org/officeDocument/2006/relationships/image" Target="media/5edbe75332036f04640d49b18fa259c825ddf82d.jpg"/><Relationship Id="rId65" Type="http://schemas.openxmlformats.org/officeDocument/2006/relationships/image" Target="media/64ecb7fb507524f080a867cfc5195fbadeaa7cdd.jpg"/><Relationship Id="rId66" Type="http://schemas.openxmlformats.org/officeDocument/2006/relationships/image" Target="media/df6ccef2da069ce12dd3bcbf2aac2c1079d66f8b.jpg"/><Relationship Id="rId67" Type="http://schemas.openxmlformats.org/officeDocument/2006/relationships/image" Target="media/b598c5ba6a88e667446c003e09a149429e13a85e.jpg"/><Relationship Id="rId7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Balcão das Sucessões — Manual do utilizador</dc:title>
  <dc:creator>Balcão das Sucessões</dc:creator>
  <dc:description>Manual completo de todas as funcionalidades da aplicação.</dc:description>
  <cp:lastModifiedBy>Un-named</cp:lastModifiedBy>
  <cp:revision>1</cp:revision>
  <dcterms:created xsi:type="dcterms:W3CDTF">2026-09-17T22:32:21.940Z</dcterms:created>
  <dcterms:modified xsi:type="dcterms:W3CDTF">2026-09-17T22:32:21.941Z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