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Yield Protection in Custom Semiconductor Programs</w:t>
      </w:r>
    </w:p>
    <w:p>
      <w:r>
        <w:t>Yield exceptions are a credible, high-value use case for a custom accelerator supplier. The most defensible agent role is to shorten the path from an existing manufacturing alert to an evidence-backed technical and business response. A complete yield-recovery story also needs measured results and an authorized material decision. A recovery-planning task alone demonstrates coordination.</w:t>
      </w:r>
    </w:p>
    <w:p>
      <w:r>
        <w:t>This report examines public semiconductor practices and applies them to the fictional QE-004 case: a packaged final-test yield drop affecting a held accelerator lot. The workflow is a synthesis of company documentation, technical presentations and role descriptions, rather than one company’s confidential operating procedure. Evidence was reviewed on 13 September 2026. Proposed demo extensions are identified as recommendations.</w:t>
      </w:r>
    </w:p>
    <w:p>
      <w:pPr>
        <w:pStyle w:val="Heading2"/>
      </w:pPr>
      <w:r>
        <w:t>The custom program operating model</w:t>
      </w:r>
    </w:p>
    <w:p>
      <w:r>
        <w:t>GUC is a close public analog for Stratos: its ASIC production services combine yield engineering, automated manufacturing analysis and physical failure analysis. Its supply-chain service connects foundry and outsourced assembly and test partners, including held-lot and work-in-progress reporting. This supports a program-level control plane spanning engineering, manufacturing and customer demand.</w:t>
      </w:r>
      <w:r>
        <w:rPr>
          <w:rStyle w:val="FootnoteReference"/>
        </w:rPr>
        <w:footnoteReference w:id="1"/>
      </w:r>
    </w:p>
    <w:p>
      <w:r>
        <w:t>The physical chain is wafer fabrication, wafer test, packaging, packaged final test, and any required system-level screening. The exact route varies by product. Customer-specific test content and multi-die power, thermal and connectivity requirements make configuration and test-stage identity particularly important for custom AI silicon.</w:t>
      </w:r>
      <w:r>
        <w:rPr>
          <w:rStyle w:val="FootnoteReference"/>
        </w:rPr>
        <w:footnoteReference w:id="2"/>
      </w:r>
    </w:p>
    <w:p>
      <w:pPr>
        <w:pStyle w:val="Heading2"/>
      </w:pPr>
      <w:r>
        <w:t>Identify the production phase</w:t>
      </w:r>
    </w:p>
    <w:p>
      <w:r>
        <w:t>Early sample characterization, production ramp and a sudden excursion in an established flow are different situations. Alchip describes considerable yield variation early in manufacturing and supplier collaboration to stabilize production. A weak early result is not automatically an abnormal excursion against a mature-product baseline.</w:t>
      </w:r>
      <w:r>
        <w:rPr>
          <w:rStyle w:val="FootnoteReference"/>
        </w:rPr>
        <w:footnoteReference w:id="3"/>
      </w:r>
    </w:p>
    <w:p>
      <w:r>
        <w:t>For QE-004, the strongest framing is a production-lot excursion in an established REV-B final-test flow. The fixture contains a matched approved baseline, but the wider program is still in pilot validation. Explain that production-test performance and customer workload qualification are separate dimensions; do not imply that all program qualification is complete.</w:t>
      </w:r>
    </w:p>
    <w:p>
      <w:pPr>
        <w:pStyle w:val="Heading2"/>
      </w:pPr>
      <w:r>
        <w:t>Three outcomes to distinguish</w:t>
      </w:r>
    </w:p>
    <w:p>
      <w:r>
        <w:t>Yield recovery means additional acceptable outputs after a justified corrective action. Quality protection means preventing suspect product from progressing or escaping. Supply mitigation means reducing delivery exposure using eligible material or capacity. One incident can involve all three, but each needs its own evidence and success measure.</w:t>
      </w:r>
    </w:p>
    <w:p>
      <w:pPr>
        <w:pStyle w:val="Heading1"/>
        <w:pageBreakBefore/>
        <w:spacing w:before="0"/>
      </w:pPr>
      <w:r>
        <w:t>How the anomaly is discovered</w:t>
      </w:r>
    </w:p>
    <w:p>
      <w:r>
        <w:t>Detection commonly begins in automated test and factory systems. ASE Kaohsiung describes automatic collection of tester data, inline monitoring by site and failure bin, statistical process control and automatic warnings. Amkor describes equipment data collection, fault detection and wafer-to-unit traceability. Engineers receive and investigate these signals; they do not necessarily discover them by manually scanning spreadsheets.</w:t>
      </w:r>
      <w:r>
        <w:rPr>
          <w:rStyle w:val="FootnoteReference"/>
        </w:rPr>
        <w:footnoteReference w:id="4"/>
      </w:r>
    </w:p>
    <w:p>
      <w:pPr>
        <w:pStyle w:val="Heading2"/>
      </w:pPr>
      <w:r>
        <w:t>What the systems monitor</w:t>
      </w:r>
    </w:p>
    <w:tbl>
      <w:tblPr>
        <w:tblW w:type="auto" w:w="0"/>
        <w:jc w:val="center"/>
        <w:tblLayout w:type="fixed"/>
        <w:tblLook w:firstColumn="1" w:firstRow="1" w:lastColumn="0" w:lastRow="0" w:noHBand="0" w:noVBand="1" w:val="04A0"/>
      </w:tblPr>
      <w:tblGrid>
        <w:gridCol w:w="2477"/>
        <w:gridCol w:w="7690"/>
      </w:tblGrid>
      <w:tr>
        <w:trPr>
          <w:cantSplit/>
          <w:tblHeader/>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Signal</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What it can reveal</w:t>
            </w:r>
          </w:p>
        </w:tc>
      </w:tr>
      <w:tr>
        <w:trPr>
          <w:cantSplit/>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Yield and failure bins</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An unusual pass-rate drop or concentration in a category of failed tests.</w:t>
            </w:r>
          </w:p>
        </w:tc>
      </w:tr>
      <w:tr>
        <w:trPr>
          <w:cantSplit/>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Site and equipment differences</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One parallel test position, tester or time window behaves differently.</w:t>
            </w:r>
          </w:p>
        </w:tc>
      </w:tr>
      <w:tr>
        <w:trPr>
          <w:cantSplit/>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Parametric shifts</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Voltage, timing, leakage or other measurements drift, sometimes before binary failures.</w:t>
            </w:r>
          </w:p>
        </w:tc>
      </w:tr>
      <w:tr>
        <w:trPr>
          <w:cantSplit/>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Wafer and process patterns</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Spatial clusters or shared fabrication, assembly or material history.</w:t>
            </w:r>
          </w:p>
        </w:tc>
      </w:tr>
      <w:tr>
        <w:trPr>
          <w:cantSplit/>
        </w:trPr>
        <w:tc>
          <w:tcPr>
            <w:tcW w:type="dxa" w:w="247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Later quality signals</w:t>
            </w:r>
          </w:p>
        </w:tc>
        <w:tc>
          <w:tcPr>
            <w:tcW w:type="dxa" w:w="76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System screening, reliability monitoring or customer returns expose a missed issue.</w:t>
            </w:r>
          </w:p>
        </w:tc>
      </w:tr>
    </w:tbl>
    <w:p>
      <w:pPr>
        <w:spacing w:after="0"/>
      </w:pPr>
    </w:p>
    <w:p>
      <w:r>
        <w:t>These are complementary signals, not a universal list of mandatory alarms. Limits depend on the product, test stage, sampling, process stability and approved control plan. Qualcomm’s published account places test, process and design evidence in a shared analysis ecosystem and describes machine learning assisting human interpretation.</w:t>
      </w:r>
      <w:r>
        <w:rPr>
          <w:rStyle w:val="FootnoteReference"/>
        </w:rPr>
        <w:footnoteReference w:id="5"/>
      </w:r>
    </w:p>
    <w:p>
      <w:pPr>
        <w:pStyle w:val="Heading2"/>
      </w:pPr>
      <w:r>
        <w:t>The first engineer checks whether the comparison is valid</w:t>
      </w:r>
    </w:p>
    <w:p>
      <w:r>
        <w:t>Compare unique devices and the same attempt type, product revision, test-program version, conditions, equipment family and population. Confirm the current and baseline sample sizes. Preserve original failures and authorized retests separately. If a test was added, temperature changed, or product mix shifted, a yield difference may have a different explanation. These are recommended analytical checks for the demo, not a claim that its two percentages alone establish a statistical control violation.</w:t>
      </w:r>
    </w:p>
    <w:p>
      <w:r>
        <w:t>QE-004 has 200 passes from 250 devices, compared with 960 from 1,000 in the approved baseline. The source also contains 120/125 passes at Site 1 and 80/125 at Site 2: 96% versus 64%. Show these denominators beside the rates. The current 5-versus-45 failure display hides useful context; the data itself does not need to be invented.</w:t>
      </w:r>
    </w:p>
    <w:p>
      <w:pPr>
        <w:pStyle w:val="Heading2"/>
      </w:pPr>
      <w:r>
        <w:t>A test site is a hypothesis about cause</w:t>
      </w:r>
    </w:p>
    <w:p>
      <w:r>
        <w:t>A site is a position in parallel testing, not necessarily a separate factory. Teradyne specifically describes thermal, power-delivery and interface differences affecting advanced digital and xPU measurements. The QE-004 pattern therefore justifies checking the test cell, but does not prove a bad socket, tester or chip.</w:t>
      </w:r>
      <w:r>
        <w:rPr>
          <w:rStyle w:val="FootnoteReference"/>
        </w:rPr>
        <w:footnoteReference w:id="6"/>
      </w:r>
    </w:p>
    <w:p>
      <w:pPr>
        <w:pStyle w:val="Heading1"/>
        <w:pageBreakBefore/>
        <w:spacing w:before="0"/>
      </w:pPr>
      <w:r>
        <w:t>The human response from alert to investigation</w:t>
      </w:r>
    </w:p>
    <w:p>
      <w:r>
        <w:t>The following reference sequence combines published practices with an operational synthesis for a fabless custom-ASIC supplier. Containment, technical diagnosis and supply planning overlap; urgent containment should not wait for a Program Owner’s business review.</w:t>
      </w:r>
    </w:p>
    <w:p>
      <w:pPr>
        <w:pStyle w:val="Heading2"/>
      </w:pPr>
      <w:r>
        <w:t>1 Confirm and assign the incident</w:t>
      </w:r>
    </w:p>
    <w:p>
      <w:r>
        <w:t>A Product or Yield Engineer checks the alert context with Test Engineering and the factory. The first output is an owned exception with the measured problem, confidence, affected product and current uncertainty. A concise statement is: “Final-test yield fell to 80%; Site 2 has disproportionate failures; cause not established.” The program team receives an impact alert rather than ownership of the physical diagnosis.</w:t>
      </w:r>
    </w:p>
    <w:p>
      <w:pPr>
        <w:pStyle w:val="Heading2"/>
      </w:pPr>
      <w:r>
        <w:t>2 Contain and trace affected material</w:t>
      </w:r>
    </w:p>
    <w:p>
      <w:r>
        <w:t>Manufacturing and Quality apply the relevant control plan, isolating suspect material and restricting an implicated operation when warranted. They trace lots, units, equipment and time windows backward and forward, including possible downstream exposure. onsemi explicitly requires containment, traceability and controlled handling of nonconforming material from suppliers including foundry and assembly/test partners.</w:t>
      </w:r>
      <w:r>
        <w:rPr>
          <w:rStyle w:val="FootnoteReference"/>
        </w:rPr>
        <w:footnoteReference w:id="7"/>
      </w:r>
    </w:p>
    <w:p>
      <w:r>
        <w:t>The scope can grow or shrink as evidence arrives. Holding only failed units may be inadequate if a test setup could also have produced false passes. For QE-004, the full 250-device hold is an existing source fact. Neither an agent recommendation nor an individual pass result removes it.</w:t>
      </w:r>
    </w:p>
    <w:p>
      <w:pPr>
        <w:pStyle w:val="Heading2"/>
      </w:pPr>
      <w:r>
        <w:t>3 Build competing explanations</w:t>
      </w:r>
    </w:p>
    <w:p>
      <w:r>
        <w:t>Test Engineering checks program versions, contact or interface condition, power, temperature, calibration and equipment events. Product, package and process engineers compare failure signatures with manufacturing history. Relevant evidence can include bins, measured values, wafer maps, genealogy, recent changes and reference-unit results. Advantest’s published probe-cleaning example illustrates how test contact can affect apparent yield, although that example is wafer probe, not QE-004 final test.</w:t>
      </w:r>
      <w:r>
        <w:rPr>
          <w:rStyle w:val="FootnoteReference"/>
        </w:rPr>
        <w:footnoteReference w:id="8"/>
      </w:r>
    </w:p>
    <w:p>
      <w:r>
        <w:t>The evidence packet should name the leading hypothesis, alternatives, evidence against each and the next discriminating check. A prior similar incident is a useful clue, not proof of the current cause. QE-004’s historical site-investigation document already makes that distinction.</w:t>
      </w:r>
    </w:p>
    <w:p>
      <w:pPr>
        <w:pStyle w:val="Heading2"/>
      </w:pPr>
      <w:r>
        <w:t>4 Run targeted technical work and parallel impact analysis</w:t>
      </w:r>
    </w:p>
    <w:p>
      <w:r>
        <w:t>Engineers choose an appropriate experiment or failure-analysis route. Infineon describes an adaptive progression from electrical verification to nondestructive inspection, localization and physical analysis when needed. Not every excursion requires destructive analysis.</w:t>
      </w:r>
      <w:r>
        <w:rPr>
          <w:rStyle w:val="FootnoteReference"/>
        </w:rPr>
        <w:footnoteReference w:id="9"/>
      </w:r>
    </w:p>
    <w:p>
      <w:r>
        <w:t>Meanwhile, the planner checks eligible inventory, demand dates, other supply, test capacity and the cost of alternative responses. Waiting for complete root cause is unnecessary for identifying exposure; committing to a speculative recovery quantity is premature.</w:t>
      </w:r>
    </w:p>
    <w:p>
      <w:pPr>
        <w:pStyle w:val="Heading1"/>
        <w:pageBreakBefore/>
        <w:spacing w:before="0"/>
      </w:pPr>
      <w:r>
        <w:t>From diagnosis to recovery and disposition</w:t>
      </w:r>
    </w:p>
    <w:p>
      <w:pPr>
        <w:pStyle w:val="Heading2"/>
      </w:pPr>
      <w:r>
        <w:t>5 Propose and authorize a specific technical action</w:t>
      </w:r>
    </w:p>
    <w:p>
      <w:r>
        <w:t>A useful proposal identifies the affected units, hypothesized or confirmed cause, approved procedure, test conditions, acceptance criteria, executor and stopping conditions. Test content may be customer-controlled or jointly developed with an OSAT; Amkor describes both engagement models. The relevant technical owner must therefore be explicit.</w:t>
      </w:r>
      <w:r>
        <w:rPr>
          <w:rStyle w:val="FootnoteReference"/>
        </w:rPr>
        <w:footnoteReference w:id="10"/>
      </w:r>
    </w:p>
    <w:tbl>
      <w:tblPr>
        <w:tblW w:type="auto" w:w="0"/>
        <w:jc w:val="center"/>
        <w:tblLayout w:type="fixed"/>
        <w:tblLook w:firstColumn="1" w:firstRow="1" w:lastColumn="0" w:lastRow="0" w:noHBand="0" w:noVBand="1" w:val="04A0"/>
      </w:tblPr>
      <w:tblGrid>
        <w:gridCol w:w="2664"/>
        <w:gridCol w:w="3701"/>
        <w:gridCol w:w="3802"/>
      </w:tblGrid>
      <w:tr>
        <w:trPr>
          <w:cantSplit/>
          <w:tblHeader/>
        </w:trPr>
        <w:tc>
          <w:tcPr>
            <w:tcW w:type="dxa" w:w="266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Evidence points toward</w:t>
            </w:r>
          </w:p>
        </w:tc>
        <w:tc>
          <w:tcPr>
            <w:tcW w:type="dxa" w:w="3701"/>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Potential response</w:t>
            </w:r>
          </w:p>
        </w:tc>
        <w:tc>
          <w:tcPr>
            <w:tcW w:type="dxa" w:w="38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What remains required</w:t>
            </w:r>
          </w:p>
        </w:tc>
      </w:tr>
      <w:tr>
        <w:trPr>
          <w:cantSplit/>
        </w:trPr>
        <w:tc>
          <w:tcPr>
            <w:tcW w:type="dxa" w:w="266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Test-cell or measurement issue</w:t>
            </w:r>
          </w:p>
        </w:tc>
        <w:tc>
          <w:tcPr>
            <w:tcW w:type="dxa" w:w="3701"/>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Correct and qualify the setup; controlled retest of the defined population.</w:t>
            </w:r>
          </w:p>
        </w:tc>
        <w:tc>
          <w:tcPr>
            <w:tcW w:type="dxa" w:w="38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Evidence of valid measurements and the applicable retest rule.</w:t>
            </w:r>
          </w:p>
        </w:tc>
      </w:tr>
      <w:tr>
        <w:trPr>
          <w:cantSplit/>
        </w:trPr>
        <w:tc>
          <w:tcPr>
            <w:tcW w:type="dxa" w:w="266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Recoverable assembly or process issue</w:t>
            </w:r>
          </w:p>
        </w:tc>
        <w:tc>
          <w:tcPr>
            <w:tcW w:type="dxa" w:w="3701"/>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 qualified rework or re-screen route where physically feasible.</w:t>
            </w:r>
          </w:p>
        </w:tc>
        <w:tc>
          <w:tcPr>
            <w:tcW w:type="dxa" w:w="38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Engineering instructions and Quality review of residual risk.</w:t>
            </w:r>
          </w:p>
        </w:tc>
      </w:tr>
      <w:tr>
        <w:trPr>
          <w:cantSplit/>
        </w:trPr>
        <w:tc>
          <w:tcPr>
            <w:tcW w:type="dxa" w:w="266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True nonrecoverable defect</w:t>
            </w:r>
          </w:p>
        </w:tc>
        <w:tc>
          <w:tcPr>
            <w:tcW w:type="dxa" w:w="3701"/>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Reject or scrap affected units; fix the cause for future material.</w:t>
            </w:r>
          </w:p>
        </w:tc>
        <w:tc>
          <w:tcPr>
            <w:tcW w:type="dxa" w:w="38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Disposition and prevention of recurrence.</w:t>
            </w:r>
          </w:p>
        </w:tc>
      </w:tr>
      <w:tr>
        <w:trPr>
          <w:cantSplit/>
        </w:trPr>
        <w:tc>
          <w:tcPr>
            <w:tcW w:type="dxa" w:w="266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Acceptable alternate product grade</w:t>
            </w:r>
          </w:p>
        </w:tc>
        <w:tc>
          <w:tcPr>
            <w:tcW w:type="dxa" w:w="3701"/>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Reclassify only to an already valid specification or approved change.</w:t>
            </w:r>
          </w:p>
        </w:tc>
        <w:tc>
          <w:tcPr>
            <w:tcW w:type="dxa" w:w="38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Product and customer requirements; no silent limit relaxation.</w:t>
            </w:r>
          </w:p>
        </w:tc>
      </w:tr>
    </w:tbl>
    <w:p>
      <w:pPr>
        <w:spacing w:after="0"/>
      </w:pPr>
    </w:p>
    <w:p>
      <w:r>
        <w:t>This menu is a reference framework, not a promise that each option exists for a given chip. Retest can recover a false reject; it does not repair physical damage. NI’s production-test discussion also explains why an eventually passing unit can remain suspect after excessive probing. Repeated testing until pass is not a credible recovery policy.</w:t>
      </w:r>
      <w:r>
        <w:rPr>
          <w:rStyle w:val="FootnoteReference"/>
        </w:rPr>
        <w:footnoteReference w:id="11"/>
      </w:r>
    </w:p>
    <w:p>
      <w:pPr>
        <w:pStyle w:val="Heading2"/>
      </w:pPr>
      <w:r>
        <w:t>6 Execute and review actual results</w:t>
      </w:r>
    </w:p>
    <w:p>
      <w:r>
        <w:t>Factory personnel execute the authorized work and publish results linked to the units and procedure revision. Responsible Product/Test Engineering evaluates whether the work was valid and whether the evidence supports the proposed disposition. A new LLM run is optional; the engineering review is the substantive gate. NXP’s change-management process provides an example of separating plan execution from review of results before release, although it is not itself a lot-disposition SOP.</w:t>
      </w:r>
      <w:r>
        <w:rPr>
          <w:rStyle w:val="FootnoteReference"/>
        </w:rPr>
        <w:footnoteReference w:id="12"/>
      </w:r>
    </w:p>
    <w:p>
      <w:pPr>
        <w:pStyle w:val="Heading2"/>
      </w:pPr>
      <w:r>
        <w:t>7 Decide the material outcome and verify effectiveness</w:t>
      </w:r>
    </w:p>
    <w:p>
      <w:r>
        <w:t>The designated Quality or material-disposition authority decides what can be released, remains held or must be rejected under local rules. AMD describes formal Material Review Board and corrective-action mechanisms. TI describes containment, root-cause work, corrective action and effectiveness verification; a shipment outside agreed specifications requires an approved customer waiver.</w:t>
      </w:r>
      <w:r>
        <w:rPr>
          <w:rStyle w:val="FootnoteReference"/>
        </w:rPr>
        <w:footnoteReference w:id="13"/>
      </w:r>
    </w:p>
    <w:p>
      <w:r>
        <w:t>Material disposition, restored production and corrective-action closure can occur at different times. A lot decision may be complete while recurrence monitoring remains open. Planner then consumes actual eligible quantities. Reading those records back proves the systems recorded the actions; it does not independently prove the physical measurements were valid.</w:t>
      </w:r>
    </w:p>
    <w:p>
      <w:pPr>
        <w:pStyle w:val="Heading1"/>
        <w:pageBreakBefore/>
        <w:spacing w:before="0"/>
      </w:pPr>
      <w:r>
        <w:t>Who participates and who decides</w:t>
      </w:r>
    </w:p>
    <w:p>
      <w:r>
        <w:t>Job titles vary, but the technical and business responsibilities are distinguishable. Marvell’s ASIC product-engineer role covers volume-data analysis, experiments and yield/quality/test-time tradeoffs. Its custom-silicon program leadership role connects hyperscaler customers, engineering, operations, finance and supply chain. The app’s personas should reflect that division.</w:t>
      </w:r>
      <w:r>
        <w:rPr>
          <w:rStyle w:val="FootnoteReference"/>
        </w:rPr>
        <w:footnoteReference w:id="14"/>
      </w:r>
    </w:p>
    <w:tbl>
      <w:tblPr>
        <w:tblW w:type="auto" w:w="0"/>
        <w:jc w:val="center"/>
        <w:tblLayout w:type="fixed"/>
        <w:tblLook w:firstColumn="1" w:firstRow="1" w:lastColumn="0" w:lastRow="0" w:noHBand="0" w:noVBand="1" w:val="04A0"/>
      </w:tblPr>
      <w:tblGrid>
        <w:gridCol w:w="2362"/>
        <w:gridCol w:w="3888"/>
        <w:gridCol w:w="3917"/>
      </w:tblGrid>
      <w:tr>
        <w:trPr>
          <w:cantSplit/>
          <w:tblHeader/>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Persona</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Primary responsibility</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Decision boundary</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Product or Yield Engineer</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Technical incident lead; compare data, prioritize hypotheses and coordinate diagnosis.</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Recommends the remedy and required evidence.</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Test Engineer</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Test content, equipment correlation, interfaces, approved test or retest plan.</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Owns technical test validity within delegated authority.</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OSAT or manufacturing operations</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Locate material, execute containment and approved work, record actual outcomes.</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Cannot substitute production pressure for release approval.</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Foundry or package engineering</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Investigate process, equipment, assembly or design interaction when implicated.</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Approves relevant process changes through its controls.</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Failure Analysis and Reliability</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Electrical or physical analysis and assessment of latent quality risk.</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Provides technical evidence; does not own demand promises.</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Quality or disposition authority</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Containment adequacy, material decision and corrective-action oversight.</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Release, continued hold or rejection under company rules.</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Program Operator and planner</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Coordinate owners; quantify order exposure; edit and submit business options.</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May prepare and track; cannot declare suspect silicon good.</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Program Owner and commercial lead</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Resources, cost, prioritization and business recovery decisions.</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Commitment changes require the appropriate authority.</w:t>
            </w:r>
          </w:p>
        </w:tc>
      </w:tr>
      <w:tr>
        <w:trPr>
          <w:cantSplit/>
        </w:trPr>
        <w:tc>
          <w:tcPr>
            <w:tcW w:type="dxa" w:w="236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Customer silicon or Quality team</w:t>
            </w:r>
          </w:p>
        </w:tc>
        <w:tc>
          <w:tcPr>
            <w:tcW w:type="dxa" w:w="3888"/>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Customer requirements, relevant technical context and agreed exceptions.</w:t>
            </w:r>
          </w:p>
        </w:tc>
        <w:tc>
          <w:tcPr>
            <w:tcW w:type="dxa" w:w="3917"/>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Involved when contract, deviation or change rules require it.</w:t>
            </w:r>
          </w:p>
        </w:tc>
      </w:tr>
    </w:tbl>
    <w:p>
      <w:pPr>
        <w:spacing w:after="0"/>
      </w:pPr>
    </w:p>
    <w:p>
      <w:pPr>
        <w:pStyle w:val="Heading2"/>
      </w:pPr>
      <w:r>
        <w:t>What this means for the demo personas</w:t>
      </w:r>
    </w:p>
    <w:p>
      <w:r>
        <w:t>Keep Program Operator as the main navigation persona and Program Owner for the business proposal. Make Product/Test Engineering the visible technical owner. An end-to-end recovery extension needs a separate Quality disposition step, even if presented compactly. The Program Owner should not become a universal approver simply to reduce screen changes.</w:t>
      </w:r>
    </w:p>
    <w:p>
      <w:r>
        <w:t>QE-004 concerns production final test. Its execution evidence should come from Manufacturing or an OSAT test record. CR-017’s workload Validation Lab is a different function unless the fictional system explicitly adds production-test responsibilities. Reusing a lab screen does not establish the necessary authority.</w:t>
      </w:r>
    </w:p>
    <w:p>
      <w:pPr>
        <w:pStyle w:val="Heading1"/>
        <w:pageBreakBefore/>
        <w:spacing w:before="0"/>
      </w:pPr>
      <w:r>
        <w:t>Business value and the meaning of yield saved</w:t>
      </w:r>
    </w:p>
    <w:p>
      <w:pPr>
        <w:pStyle w:val="Heading2"/>
      </w:pPr>
      <w:r>
        <w:t>Separate the financial mechanisms</w:t>
      </w:r>
    </w:p>
    <w:p>
      <w:r>
        <w:t>Faster containment can prevent additional suspect production. Correcting false rejects can increase acceptable output and reduce unnecessary retest. Addressing real defects can improve future lots even if the current lot is not salvageable. Earlier verified release can reduce inventory delay and delivery exposure. These are distinct benefits; calculate them separately before making a combined ROI claim.</w:t>
      </w:r>
    </w:p>
    <w:p>
      <w:r>
        <w:t>Financial exposure can be substantial. NVIDIA’s August 2024 filing disclosed a Blackwell mask change to improve yield and $908 million of quarterly inventory and excess-purchase provisions, primarily associated with low-yielding Blackwell material. This is a merchant-accelerator example demonstrating financial scale, not evidence that one yield point always equals a particular dollar amount.</w:t>
      </w:r>
      <w:r>
        <w:rPr>
          <w:rStyle w:val="FootnoteReference"/>
        </w:rPr>
        <w:footnoteReference w:id="15"/>
      </w:r>
    </w:p>
    <w:p>
      <w:pPr>
        <w:pStyle w:val="Heading2"/>
      </w:pPr>
      <w:r>
        <w:t>Use percentage points and state the assumptions</w:t>
      </w:r>
    </w:p>
    <w:p>
      <w:r>
        <w:t>A decline from 96% to 95% is one percentage point. For 100,000 units entering the same stage, that means 1,000 fewer passing outputs. At a purely assumed $5,000 net selling price, their potential shipment value is $5 million, subject to downstream acceptance, demand and timing. This arithmetic is illustrative, not a semiconductor price estimate or a forecast of agent-generated revenue.</w:t>
      </w:r>
    </w:p>
    <w:p>
      <w:r>
        <w:t>Revenue at risk differs from realized lost revenue, margin and avoided manufacturing cost. Supply might be delayed rather than permanently lost; recovered units still incur testing and disposition costs. Who bears the cost also depends on the custom-program commercial model. GUC publicly supports wafer-buy and chip-buy arrangements, so the supplier does not necessarily bear every loss.</w:t>
      </w:r>
      <w:r>
        <w:rPr>
          <w:rStyle w:val="FootnoteReference"/>
        </w:rPr>
        <w:footnoteReference w:id="16"/>
      </w:r>
    </w:p>
    <w:p>
      <w:pPr>
        <w:pStyle w:val="Heading2"/>
      </w:pPr>
      <w:r>
        <w:t>The current synthetic case has four distinct quantities</w:t>
      </w:r>
    </w:p>
    <w:tbl>
      <w:tblPr>
        <w:tblW w:type="auto" w:w="0"/>
        <w:jc w:val="center"/>
        <w:tblLayout w:type="fixed"/>
        <w:tblLook w:firstColumn="1" w:firstRow="1" w:lastColumn="0" w:lastRow="0" w:noHBand="0" w:noVBand="1" w:val="04A0"/>
      </w:tblPr>
      <w:tblGrid>
        <w:gridCol w:w="2390"/>
        <w:gridCol w:w="3024"/>
        <w:gridCol w:w="4752"/>
      </w:tblGrid>
      <w:tr>
        <w:trPr>
          <w:cantSplit/>
          <w:tblHeader/>
        </w:trPr>
        <w:tc>
          <w:tcPr>
            <w:tcW w:type="dxa" w:w="23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Metric</w:t>
            </w:r>
          </w:p>
        </w:tc>
        <w:tc>
          <w:tcPr>
            <w:tcW w:type="dxa" w:w="302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QE-004 value</w:t>
            </w:r>
          </w:p>
        </w:tc>
        <w:tc>
          <w:tcPr>
            <w:tcW w:type="dxa" w:w="475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Interpretation</w:t>
            </w:r>
          </w:p>
        </w:tc>
      </w:tr>
      <w:tr>
        <w:trPr>
          <w:cantSplit/>
        </w:trPr>
        <w:tc>
          <w:tcPr>
            <w:tcW w:type="dxa" w:w="23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First-pass output</w:t>
            </w:r>
          </w:p>
        </w:tc>
        <w:tc>
          <w:tcPr>
            <w:tcW w:type="dxa" w:w="302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200 of 250; 80%</w:t>
            </w:r>
          </w:p>
        </w:tc>
        <w:tc>
          <w:tcPr>
            <w:tcW w:type="dxa" w:w="475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50 failed on the first pass.</w:t>
            </w:r>
          </w:p>
        </w:tc>
      </w:tr>
      <w:tr>
        <w:trPr>
          <w:cantSplit/>
        </w:trPr>
        <w:tc>
          <w:tcPr>
            <w:tcW w:type="dxa" w:w="23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Difference from baseline</w:t>
            </w:r>
          </w:p>
        </w:tc>
        <w:tc>
          <w:tcPr>
            <w:tcW w:type="dxa" w:w="302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240 expected at 96%; 40 fewer passes</w:t>
            </w:r>
          </w:p>
        </w:tc>
        <w:tc>
          <w:tcPr>
            <w:tcW w:type="dxa" w:w="475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 comparison, not 40 proven recoverable devices.</w:t>
            </w:r>
          </w:p>
        </w:tc>
      </w:tr>
      <w:tr>
        <w:trPr>
          <w:cantSplit/>
        </w:trPr>
        <w:tc>
          <w:tcPr>
            <w:tcW w:type="dxa" w:w="23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Material under hold</w:t>
            </w:r>
          </w:p>
        </w:tc>
        <w:tc>
          <w:tcPr>
            <w:tcW w:type="dxa" w:w="302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250 units; zero eligible</w:t>
            </w:r>
          </w:p>
        </w:tc>
        <w:tc>
          <w:tcPr>
            <w:tcW w:type="dxa" w:w="475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Includes 200 initial passes; held does not mean scrapped.</w:t>
            </w:r>
          </w:p>
        </w:tc>
      </w:tr>
      <w:tr>
        <w:trPr>
          <w:cantSplit/>
        </w:trPr>
        <w:tc>
          <w:tcPr>
            <w:tcW w:type="dxa" w:w="239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Supply exposure</w:t>
            </w:r>
          </w:p>
        </w:tc>
        <w:tc>
          <w:tcPr>
            <w:tcW w:type="dxa" w:w="302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800 demand minus 600 eligible = 200</w:t>
            </w:r>
          </w:p>
        </w:tc>
        <w:tc>
          <w:tcPr>
            <w:tcW w:type="dxa" w:w="475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An order gap, not a count of test failures.</w:t>
            </w:r>
          </w:p>
        </w:tc>
      </w:tr>
    </w:tbl>
    <w:p>
      <w:pPr>
        <w:spacing w:after="0"/>
      </w:pPr>
    </w:p>
    <w:p>
      <w:r>
        <w:t>If Quality eventually released the original 200 passing units, that could fill the modeled quantity gap without improving measured yield. It would not by itself prove readiness for shipment: other acceptance, allocation and commitment conditions may still apply. Additional passes from authorized retest are a separate recovery measure.</w:t>
      </w:r>
    </w:p>
    <w:p>
      <w:r>
        <w:t>Measure containment delay, evidence preparation time, recovered and released units, and the remaining gap. Planned engineering time is separate from agent runtime; the fixture budgets eight hours for investigation.</w:t>
      </w:r>
    </w:p>
    <w:p>
      <w:pPr>
        <w:pStyle w:val="Heading1"/>
        <w:pageBreakBefore/>
        <w:spacing w:before="0"/>
      </w:pPr>
      <w:r>
        <w:t>What the public examples establish</w:t>
      </w:r>
    </w:p>
    <w:p>
      <w:pPr>
        <w:pStyle w:val="Heading2"/>
      </w:pPr>
      <w:r>
        <w:t>Custom ASIC partners show a close organizational match</w:t>
      </w:r>
    </w:p>
    <w:p>
      <w:r>
        <w:t>GUC and Alchip directly support the custom-program model: engineering teams manage yield while coordinating external production and analysis partners. Their public service descriptions establish relevant capabilities, but do not reveal confidential hyperscaler incident thresholds, customer contracts or every approval signer. The reference workflow therefore remains a synthesis rather than a reproduction of a named customer’s procedure.</w:t>
      </w:r>
    </w:p>
    <w:p>
      <w:pPr>
        <w:pStyle w:val="Heading2"/>
      </w:pPr>
      <w:r>
        <w:t>Qualcomm shows the existing role of analytics</w:t>
      </w:r>
    </w:p>
    <w:p>
      <w:r>
        <w:t>In its 2019 TestConX keynote, Qualcomm described joining data from foundry through system-level test and using analytics to reduce the time needed to understand yield loss. The presentation positioned machine learning as a way to make complex data more tractable for people. This supports an agent layer that prepares evidence and coordinates work alongside established analysis tools.</w:t>
      </w:r>
      <w:r>
        <w:rPr>
          <w:rStyle w:val="FootnoteReference"/>
        </w:rPr>
        <w:footnoteReference w:id="17"/>
      </w:r>
    </w:p>
    <w:p>
      <w:pPr>
        <w:pStyle w:val="Heading2"/>
      </w:pPr>
      <w:r>
        <w:t>Controlled retest can recover measured fallout</w:t>
      </w:r>
    </w:p>
    <w:p>
      <w:r>
        <w:t>Teslence’s SWTest 2019 presentation shows poor wafer-test sites and compares retest strategies that avoid repeating rejects on problematic sites. It demonstrates a concrete recovery mechanism. The example is supplier-authored, anonymized and about wafer probing, so its gains cannot be used as a forecast for packaged custom-XPU final test.</w:t>
      </w:r>
      <w:r>
        <w:rPr>
          <w:rStyle w:val="FootnoteReference"/>
        </w:rPr>
        <w:footnoteReference w:id="18"/>
      </w:r>
    </w:p>
    <w:p>
      <w:pPr>
        <w:pStyle w:val="Heading2"/>
      </w:pPr>
      <w:r>
        <w:t>Higher pass rate must not hide reliability risk</w:t>
      </w:r>
    </w:p>
    <w:p>
      <w:r>
        <w:t>An anonymous proteanTecs case concerns a 5 nm chiplet AI SoC for datacenters. The vendor reports detecting marginal die-to-die connections beyond ordinary pass/fail results. It is a relevant example of latent quality risk, but its claimed outcomes are not independently audited. Its embedded monitoring “agents” are silicon instrumentation, not LLM agents.</w:t>
      </w:r>
      <w:r>
        <w:rPr>
          <w:rStyle w:val="FootnoteReference"/>
        </w:rPr>
        <w:footnoteReference w:id="19"/>
      </w:r>
    </w:p>
    <w:p>
      <w:pPr>
        <w:pStyle w:val="Heading2"/>
      </w:pPr>
      <w:r>
        <w:t>Implications for automation</w:t>
      </w:r>
    </w:p>
    <w:p>
      <w:r>
        <w:t>The strongest opportunity is evidence and workflow coordination: retrieve exact source records, verify comparison context, ask statistical tools for calculations, connect the affected material to orders, identify missing evidence and draft an actionable proposal. Keep detection rules, physical measurements and authoritative decisions in their appropriate systems.</w:t>
      </w:r>
    </w:p>
    <w:p>
      <w:r>
        <w:t>The model should say what it checked, what it learned, what remains uncertain, which action is proposed and who owns the next step. Its recommendation should cite current records and distinguish historical precedent. A proposed action should name scope and criteria, not simply repeat “investigate” or quote a cost.</w:t>
      </w:r>
    </w:p>
    <w:p>
      <w:r>
        <w:t>Treat time savings and improved recovery as hypotheses to evaluate. A defensible evaluation measures evidence completeness, source accuracy, authority violations, unnecessary escalations and elapsed coordination time alongside physical outcomes. Public evidence reviewed here does not establish a universal percentage improvement from generative agents.</w:t>
      </w:r>
    </w:p>
    <w:p>
      <w:pPr>
        <w:pStyle w:val="Heading1"/>
        <w:pageBreakBefore/>
        <w:spacing w:before="0"/>
      </w:pPr>
      <w:r>
        <w:t>Assessment of the yield exception demo</w:t>
      </w:r>
    </w:p>
    <w:p>
      <w:r>
        <w:t>The opening scenario is technically plausible and worth retaining. The main weakness is the gap between its yield-protection promise and a conclusion centered on a Planner task. The following recommendations preserve the current facts and distinguish presentation improvements from new workflow scope.</w:t>
      </w:r>
    </w:p>
    <w:tbl>
      <w:tblPr>
        <w:tblW w:type="auto" w:w="0"/>
        <w:jc w:val="center"/>
        <w:tblLayout w:type="fixed"/>
        <w:tblLook w:firstColumn="1" w:firstRow="1" w:lastColumn="0" w:lastRow="0" w:noHBand="0" w:noVBand="1" w:val="04A0"/>
      </w:tblPr>
      <w:tblGrid>
        <w:gridCol w:w="2592"/>
        <w:gridCol w:w="3240"/>
        <w:gridCol w:w="4334"/>
      </w:tblGrid>
      <w:tr>
        <w:trPr>
          <w:cantSplit/>
          <w:tblHeader/>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Current element</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Assessment</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Recommended refinement</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Existing Manufacturing alert and held lot</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Credible starting point.</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Show who raised the event, when and why the hold exists.</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80% versus 96% yield</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Good comparison context in source.</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Label first-pass packaged final test; expose sample sizes.</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Site 1 and Site 2 failure counts</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Source already has tested denominators.</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Show 120/125 versus 80/125 and retain cause as unconfirmed.</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Historical site investigation</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Useful supporting evidence.</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Use it to propose checks, not to declare the current cause.</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Operator edits and Owner approves</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Appropriate business handoff.</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Include technical recommendation, evidence gaps, scope and next owner.</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Verified Planner recovery task</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Proves an action was recorded.</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Show the source record clearly; call the result coordination complete.</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Quality disposition remains open</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Correct authority boundary, incomplete recovery ending.</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Show a separate technical status or add an explicit continuation.</w:t>
            </w:r>
          </w:p>
        </w:tc>
      </w:tr>
      <w:tr>
        <w:trPr>
          <w:cantSplit/>
        </w:trPr>
        <w:tc>
          <w:tcPr>
            <w:tcW w:type="dxa" w:w="259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Workload Validation Lab references</w:t>
            </w:r>
          </w:p>
        </w:tc>
        <w:tc>
          <w:tcPr>
            <w:tcW w:type="dxa" w:w="3240"/>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Potential source of user confusion.</w:t>
            </w:r>
          </w:p>
        </w:tc>
        <w:tc>
          <w:tcPr>
            <w:tcW w:type="dxa" w:w="4334"/>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Distinguish workload evidence from production-test execution.</w:t>
            </w:r>
          </w:p>
        </w:tc>
      </w:tr>
    </w:tbl>
    <w:p>
      <w:pPr>
        <w:spacing w:after="0"/>
      </w:pPr>
    </w:p>
    <w:p>
      <w:pPr>
        <w:pStyle w:val="Heading2"/>
      </w:pPr>
      <w:r>
        <w:t>Two credible demo endpoints</w:t>
      </w:r>
    </w:p>
    <w:p>
      <w:r>
        <w:t>A smaller refinement would end with “Recovery coordination complete; Quality investigation open.” This is honest and requires clearer status and records, but its business story is faster response coordination rather than demonstrated recovered output.</w:t>
      </w:r>
    </w:p>
    <w:p>
      <w:r>
        <w:t>For a flagship yield-protection scenario, the stronger recommendation is a bounded continuation through technical result review, Quality disposition and source reconciliation. This is additional workflow scope: it needs a production-test result contract, a distinct disposition authority and explicit outcomes. It should be agreed before implementation, rather than hidden inside a cosmetic change.</w:t>
      </w:r>
    </w:p>
    <w:p>
      <w:r>
        <w:t>The scenario evidence is synthetic and comes from the master reference, QE-004 fixtures and the reviewed demo screens. Industry evidence supports the recommended boundaries; it does not establish a root cause for the fictional lot.</w:t>
      </w:r>
    </w:p>
    <w:p>
      <w:pPr>
        <w:pStyle w:val="Heading1"/>
        <w:pageBreakBefore/>
        <w:spacing w:before="0"/>
      </w:pPr>
      <w:r>
        <w:t>Recommended demo sequence and proof of outcome</w:t>
      </w:r>
    </w:p>
    <w:p>
      <w:r>
        <w:t>Use one clearly disclosed synthetic technical continuation. A test-cell issue is a plausible candidate because of the site pattern, but its confirmation must appear only when new execution evidence arrives. Retain the possibility of an unresolved or rejected outcome; do not prepopulate success.</w:t>
      </w:r>
    </w:p>
    <w:tbl>
      <w:tblPr>
        <w:tblW w:type="auto" w:w="0"/>
        <w:jc w:val="center"/>
        <w:tblLayout w:type="fixed"/>
        <w:tblLook w:firstColumn="1" w:firstRow="1" w:lastColumn="0" w:lastRow="0" w:noHBand="0" w:noVBand="1" w:val="04A0"/>
      </w:tblPr>
      <w:tblGrid>
        <w:gridCol w:w="1512"/>
        <w:gridCol w:w="3053"/>
        <w:gridCol w:w="5602"/>
      </w:tblGrid>
      <w:tr>
        <w:trPr>
          <w:cantSplit/>
          <w:tblHeader/>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Step</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Screen or record</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shd w:fill="EEEEEE"/>
          </w:tcPr>
          <w:p>
            <w:pPr>
              <w:spacing w:after="0" w:line="247" w:lineRule="auto"/>
            </w:pPr>
            <w:r>
              <w:rPr>
                <w:b/>
                <w:sz w:val="20"/>
              </w:rPr>
              <w:t>Persona and outcome</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1 Alert</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Overview → QE-004</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Program Operator sees source alert, hold, site rates and order exposure.</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2 Analyze</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Case evidence and agent activity</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Agents assemble facts, competing hypotheses, missing checks and business impact.</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3 Submit</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Editable recommendation</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Operator edits and submits the complete proposal; technical and business owners are named.</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4 Approve</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Engineering and business decisions</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Technical owner authorizes the recovery route; Owner approves business resources if needed.</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5 Execute</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Manufacturing production-test work item</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Factory/test persona records work and results through a disclosed simulation step.</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6 Review</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Engineering review → Quality record</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Engineer reviews technical evidence; Quality records released, held and rejected quantities.</w:t>
            </w:r>
          </w:p>
        </w:tc>
      </w:tr>
      <w:tr>
        <w:trPr>
          <w:cantSplit/>
        </w:trPr>
        <w:tc>
          <w:tcPr>
            <w:tcW w:type="dxa" w:w="151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7 Reconcile</w:t>
            </w:r>
          </w:p>
        </w:tc>
        <w:tc>
          <w:tcPr>
            <w:tcW w:type="dxa" w:w="3053"/>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Case outcome and Planner record</w:t>
            </w:r>
          </w:p>
        </w:tc>
        <w:tc>
          <w:tcPr>
            <w:tcW w:type="dxa" w:w="5602"/>
            <w:vAlign w:val="center"/>
            <w:tcMar>
              <w:top w:w="100" w:type="dxa"/>
              <w:bottom w:w="100" w:type="dxa"/>
              <w:left w:w="115" w:type="dxa"/>
              <w:right w:w="115" w:type="dxa"/>
            </w:tcMar>
            <w:tcBorders>
              <w:top w:val="single" w:sz="4" w:color="D9D9D9"/>
              <w:left w:val="single" w:sz="4" w:color="D9D9D9"/>
              <w:bottom w:val="single" w:sz="4" w:color="D9D9D9"/>
              <w:right w:val="single" w:sz="4" w:color="D9D9D9"/>
            </w:tcBorders>
          </w:tcPr>
          <w:p>
            <w:pPr>
              <w:spacing w:after="0" w:line="247" w:lineRule="auto"/>
            </w:pPr>
            <w:r>
              <w:rPr>
                <w:b w:val="0"/>
                <w:sz w:val="20"/>
              </w:rPr>
              <w:t>Agents read back execution and disposition records, refresh the supply projection and show remaining obligations.</w:t>
            </w:r>
          </w:p>
        </w:tc>
      </w:tr>
    </w:tbl>
    <w:p>
      <w:pPr>
        <w:spacing w:after="0"/>
      </w:pPr>
    </w:p>
    <w:p>
      <w:r>
        <w:t>Steps 4–6 describe a proposed extension, not buttons guaranteed to exist today. Technical and business authorization can run in parallel when independent. A separate customer review belongs only where the agreement or deviation requires it. A second full agent assessment is not intrinsically necessary after results; a focused evidence comparison can support the human review.</w:t>
      </w:r>
    </w:p>
    <w:p>
      <w:pPr>
        <w:pStyle w:val="Heading2"/>
      </w:pPr>
      <w:r>
        <w:t>The explicit record to show</w:t>
      </w:r>
    </w:p>
    <w:p>
      <w:r>
        <w:t>The best closing record is a Manufacturing “Yield exception disposition” linked to the production-test execution. It should identify QE-004 and its exact units, original yield, approved work and revision, actual retest results, engineering conclusion, Quality decision, quantities released or retained, decision owner and time, and corrective-action monitoring status. The Planner record should link to it and show the resulting supply effect.</w:t>
      </w:r>
    </w:p>
    <w:p>
      <w:r>
        <w:t>Preserve the historical 80% first-pass value. Report any additional passes and final yield separately. Keep supply eligibility, customer acceptance and delivery commitment distinct. “Lot disposition complete,” “Supply plan updated” and “Effectiveness monitoring open” may all be true simultaneously.</w:t>
      </w:r>
    </w:p>
    <w:p>
      <w:pPr>
        <w:pStyle w:val="Heading1"/>
        <w:pageBreakBefore/>
        <w:spacing w:before="0"/>
      </w:pPr>
      <w:r>
        <w:t>Sources and evidence boundaries</w:t>
      </w:r>
    </w:p>
    <w:p>
      <w:r>
        <w:t>Public sources were accessed on 13 September 2026. Corporate service pages describe available capabilities rather than deployment at every site. Quality handbooks state company-specific controls, not universal industry law. Job descriptions establish role expectations, not approval rights. Historical and anonymous examples are used only within their stated scope. No confidential custom-customer SOP, universal response-time benchmark or independently verified LLM-agent ROI was available in the reviewed evidence.</w:t>
      </w:r>
    </w:p>
    <w:p>
      <w:pPr>
        <w:keepNext/>
        <w:spacing w:after="60"/>
      </w:pPr>
      <w:r>
        <w:rPr>
          <w:b/>
        </w:rPr>
        <w:t xml:space="preserve">S1  </w:t>
      </w:r>
      <w:hyperlink r:id="rId10">
        <w:r>
          <w:rPr>
            <w:color w:val="000000"/>
            <w:u w:val="single"/>
          </w:rPr>
          <w:t>GUC Production Engineering Service</w:t>
        </w:r>
      </w:hyperlink>
    </w:p>
    <w:p>
      <w:pPr>
        <w:spacing w:after="200"/>
      </w:pPr>
      <w:r>
        <w:rPr>
          <w:sz w:val="20"/>
        </w:rPr>
        <w:t>Undated. Custom ASIC production, yield controls, test correlation and failure analysis.</w:t>
      </w:r>
    </w:p>
    <w:p>
      <w:pPr>
        <w:keepNext/>
        <w:spacing w:after="60"/>
      </w:pPr>
      <w:r>
        <w:rPr>
          <w:b/>
        </w:rPr>
        <w:t xml:space="preserve">S2  </w:t>
      </w:r>
      <w:hyperlink r:id="rId11">
        <w:r>
          <w:rPr>
            <w:color w:val="000000"/>
            <w:u w:val="single"/>
          </w:rPr>
          <w:t>GUC Supply Chain Management Service</w:t>
        </w:r>
      </w:hyperlink>
    </w:p>
    <w:p>
      <w:pPr>
        <w:spacing w:after="200"/>
      </w:pPr>
      <w:r>
        <w:rPr>
          <w:sz w:val="20"/>
        </w:rPr>
        <w:t>Undated. Foundry and OSAT feeds, held lots, WIP versus demand, inventory and business models.</w:t>
      </w:r>
    </w:p>
    <w:p>
      <w:pPr>
        <w:keepNext/>
        <w:spacing w:after="60"/>
      </w:pPr>
      <w:r>
        <w:rPr>
          <w:b/>
        </w:rPr>
        <w:t xml:space="preserve">S3  </w:t>
      </w:r>
      <w:hyperlink r:id="rId12">
        <w:r>
          <w:rPr>
            <w:color w:val="000000"/>
            <w:u w:val="single"/>
          </w:rPr>
          <w:t>Alchip Product Engineering Services</w:t>
        </w:r>
      </w:hyperlink>
    </w:p>
    <w:p>
      <w:pPr>
        <w:spacing w:after="200"/>
      </w:pPr>
      <w:r>
        <w:rPr>
          <w:sz w:val="20"/>
        </w:rPr>
        <w:t>Undated. Custom ASIC ramp yield learning and coordination with suppliers and analysis laboratories.</w:t>
      </w:r>
    </w:p>
    <w:p>
      <w:pPr>
        <w:keepNext/>
        <w:spacing w:after="60"/>
      </w:pPr>
      <w:r>
        <w:rPr>
          <w:b/>
        </w:rPr>
        <w:t xml:space="preserve">S4  </w:t>
      </w:r>
      <w:hyperlink r:id="rId13">
        <w:r>
          <w:rPr>
            <w:color w:val="000000"/>
            <w:u w:val="single"/>
          </w:rPr>
          <w:t>Marvell Custom Compute in the AI Era</w:t>
        </w:r>
      </w:hyperlink>
    </w:p>
    <w:p>
      <w:pPr>
        <w:spacing w:after="200"/>
      </w:pPr>
      <w:r>
        <w:rPr>
          <w:sz w:val="20"/>
        </w:rPr>
        <w:t>18 June 2024. Custom hyperscaler compute and multi-die engineering considerations.</w:t>
      </w:r>
    </w:p>
    <w:p>
      <w:pPr>
        <w:keepNext/>
        <w:spacing w:after="60"/>
      </w:pPr>
      <w:r>
        <w:rPr>
          <w:b/>
        </w:rPr>
        <w:t xml:space="preserve">S5  </w:t>
      </w:r>
      <w:hyperlink r:id="rId14">
        <w:r>
          <w:rPr>
            <w:color w:val="000000"/>
            <w:u w:val="single"/>
          </w:rPr>
          <w:t>ASE Kaohsiung Test Service</w:t>
        </w:r>
      </w:hyperlink>
    </w:p>
    <w:p>
      <w:pPr>
        <w:spacing w:after="200"/>
      </w:pPr>
      <w:r>
        <w:rPr>
          <w:sz w:val="20"/>
        </w:rPr>
        <w:t>Undated. Automated data collection, inline site and bin monitoring, alerts and offline analysis.</w:t>
      </w:r>
    </w:p>
    <w:p>
      <w:pPr>
        <w:keepNext/>
        <w:spacing w:after="60"/>
      </w:pPr>
      <w:r>
        <w:rPr>
          <w:b/>
        </w:rPr>
        <w:t xml:space="preserve">S6  </w:t>
      </w:r>
      <w:hyperlink r:id="rId15">
        <w:r>
          <w:rPr>
            <w:color w:val="000000"/>
            <w:u w:val="single"/>
          </w:rPr>
          <w:t>Amkor Smart Manufacturing Industry 4 0</w:t>
        </w:r>
      </w:hyperlink>
    </w:p>
    <w:p>
      <w:pPr>
        <w:spacing w:after="200"/>
      </w:pPr>
      <w:r>
        <w:rPr>
          <w:sz w:val="20"/>
        </w:rPr>
        <w:t>Undated. Equipment data, statistical process control, fault classification and unit traceability.</w:t>
      </w:r>
    </w:p>
    <w:p>
      <w:pPr>
        <w:keepNext/>
        <w:spacing w:after="60"/>
      </w:pPr>
      <w:r>
        <w:rPr>
          <w:b/>
        </w:rPr>
        <w:t xml:space="preserve">S7  </w:t>
      </w:r>
      <w:hyperlink r:id="rId16">
        <w:r>
          <w:rPr>
            <w:color w:val="000000"/>
            <w:u w:val="single"/>
          </w:rPr>
          <w:t>Teradyne Site to Site Variation in Parallel Test</w:t>
        </w:r>
      </w:hyperlink>
    </w:p>
    <w:p>
      <w:pPr>
        <w:spacing w:after="200"/>
      </w:pPr>
      <w:r>
        <w:rPr>
          <w:sz w:val="20"/>
        </w:rPr>
        <w:t>Ed Seng, 24 January 2022. Power, thermal and test-interface variation in advanced digital and xPU testing.</w:t>
      </w:r>
    </w:p>
    <w:p>
      <w:pPr>
        <w:keepNext/>
        <w:spacing w:after="60"/>
      </w:pPr>
      <w:r>
        <w:rPr>
          <w:b/>
        </w:rPr>
        <w:t xml:space="preserve">S8  </w:t>
      </w:r>
      <w:hyperlink r:id="rId17">
        <w:r>
          <w:rPr>
            <w:color w:val="000000"/>
            <w:u w:val="single"/>
          </w:rPr>
          <w:t>Qualcomm TestConX keynote</w:t>
        </w:r>
      </w:hyperlink>
    </w:p>
    <w:p>
      <w:pPr>
        <w:spacing w:after="200"/>
      </w:pPr>
      <w:r>
        <w:rPr>
          <w:sz w:val="20"/>
        </w:rPr>
        <w:t>Michael Campbell, 3–6 March 2019. Test, challenges with billions of transistors, terabytes of data, 5G mobile and quality. PDF pp. 5, 9, 14 and 17.</w:t>
      </w:r>
    </w:p>
    <w:p>
      <w:pPr>
        <w:keepNext/>
        <w:spacing w:after="60"/>
      </w:pPr>
      <w:r>
        <w:rPr>
          <w:b/>
        </w:rPr>
        <w:t xml:space="preserve">S9  </w:t>
      </w:r>
      <w:hyperlink r:id="rId18">
        <w:r>
          <w:rPr>
            <w:color w:val="000000"/>
            <w:u w:val="single"/>
          </w:rPr>
          <w:t>Texas Instruments General Quality Guidelines</w:t>
        </w:r>
      </w:hyperlink>
    </w:p>
    <w:p>
      <w:pPr>
        <w:spacing w:after="200"/>
      </w:pPr>
      <w:r>
        <w:rPr>
          <w:sz w:val="20"/>
        </w:rPr>
        <w:t>Revision Q, 15 April 2025. PDF pp. 5–9: measurement control, containment, corrective action, effectiveness, traceability and waivers.</w:t>
      </w:r>
    </w:p>
    <w:p>
      <w:pPr>
        <w:keepNext/>
        <w:spacing w:after="60"/>
      </w:pPr>
      <w:r>
        <w:rPr>
          <w:b/>
        </w:rPr>
        <w:t xml:space="preserve">S10  </w:t>
      </w:r>
      <w:hyperlink r:id="rId19">
        <w:r>
          <w:rPr>
            <w:color w:val="000000"/>
            <w:u w:val="single"/>
          </w:rPr>
          <w:t>onsemi Supplier Handbook</w:t>
        </w:r>
      </w:hyperlink>
    </w:p>
    <w:p>
      <w:pPr>
        <w:spacing w:after="200"/>
      </w:pPr>
      <w:r>
        <w:rPr>
          <w:sz w:val="20"/>
        </w:rPr>
        <w:t>68AON48659E.AB, revision 28, April 2026. PDF pp. 10–12: containment, corrective action, nonconforming material and traceability.</w:t>
      </w:r>
    </w:p>
    <w:p>
      <w:pPr>
        <w:keepNext/>
        <w:spacing w:after="60"/>
      </w:pPr>
      <w:r>
        <w:rPr>
          <w:b/>
        </w:rPr>
        <w:t xml:space="preserve">S11  </w:t>
      </w:r>
      <w:hyperlink r:id="rId20">
        <w:r>
          <w:rPr>
            <w:color w:val="000000"/>
            <w:u w:val="single"/>
          </w:rPr>
          <w:t>Infineon Failure Analysis</w:t>
        </w:r>
      </w:hyperlink>
    </w:p>
    <w:p>
      <w:pPr>
        <w:spacing w:after="200"/>
      </w:pPr>
      <w:r>
        <w:rPr>
          <w:sz w:val="20"/>
        </w:rPr>
        <w:t>Undated. Electrical verification, nondestructive inspection, localization and physical analysis.</w:t>
      </w:r>
    </w:p>
    <w:p>
      <w:pPr>
        <w:pStyle w:val="Heading1"/>
        <w:pageBreakBefore/>
        <w:spacing w:before="0"/>
      </w:pPr>
      <w:r>
        <w:t>Sources continued</w:t>
      </w:r>
    </w:p>
    <w:p>
      <w:pPr>
        <w:keepNext/>
        <w:spacing w:after="60"/>
      </w:pPr>
      <w:r>
        <w:rPr>
          <w:b/>
        </w:rPr>
        <w:t xml:space="preserve">S12  </w:t>
      </w:r>
      <w:hyperlink r:id="rId21">
        <w:r>
          <w:rPr>
            <w:color w:val="000000"/>
            <w:u w:val="single"/>
          </w:rPr>
          <w:t>Amkor Meeting the Challenges of 5G RF Production Test Services</w:t>
        </w:r>
      </w:hyperlink>
    </w:p>
    <w:p>
      <w:pPr>
        <w:spacing w:after="200"/>
      </w:pPr>
      <w:r>
        <w:rPr>
          <w:sz w:val="20"/>
        </w:rPr>
        <w:t>Vineet Pancholi, 19 April 2021. Customer and OSAT test ownership, low-yield analysis and test-system false failures. RF context.</w:t>
      </w:r>
    </w:p>
    <w:p>
      <w:pPr>
        <w:keepNext/>
        <w:spacing w:after="60"/>
      </w:pPr>
      <w:r>
        <w:rPr>
          <w:b/>
        </w:rPr>
        <w:t xml:space="preserve">S13  </w:t>
      </w:r>
      <w:hyperlink r:id="rId22">
        <w:r>
          <w:rPr>
            <w:color w:val="000000"/>
            <w:u w:val="single"/>
          </w:rPr>
          <w:t>NI Automated Test Outlook 2016</w:t>
        </w:r>
      </w:hyperlink>
    </w:p>
    <w:p>
      <w:pPr>
        <w:spacing w:after="200"/>
      </w:pPr>
      <w:r>
        <w:rPr>
          <w:sz w:val="20"/>
        </w:rPr>
        <w:t>2016. Harvesting Production Test Data, contributed by David Park of Optimal+. Site alarms, test interfaces and retest or touchdown controls.</w:t>
      </w:r>
    </w:p>
    <w:p>
      <w:pPr>
        <w:keepNext/>
        <w:spacing w:after="60"/>
      </w:pPr>
      <w:r>
        <w:rPr>
          <w:b/>
        </w:rPr>
        <w:t xml:space="preserve">S14  </w:t>
      </w:r>
      <w:hyperlink r:id="rId23">
        <w:r>
          <w:rPr>
            <w:color w:val="000000"/>
            <w:u w:val="single"/>
          </w:rPr>
          <w:t>NXP Change Management and Customer Communication</w:t>
        </w:r>
      </w:hyperlink>
    </w:p>
    <w:p>
      <w:pPr>
        <w:spacing w:after="200"/>
      </w:pPr>
      <w:r>
        <w:rPr>
          <w:sz w:val="20"/>
        </w:rPr>
        <w:t>Undated. Engineering and Quality change review, qualification plans and review of results before release.</w:t>
      </w:r>
    </w:p>
    <w:p>
      <w:pPr>
        <w:keepNext/>
        <w:spacing w:after="60"/>
      </w:pPr>
      <w:r>
        <w:rPr>
          <w:b/>
        </w:rPr>
        <w:t xml:space="preserve">S15  </w:t>
      </w:r>
      <w:hyperlink r:id="rId24">
        <w:r>
          <w:rPr>
            <w:color w:val="000000"/>
            <w:u w:val="single"/>
          </w:rPr>
          <w:t>AMD Manufacturing Quality</w:t>
        </w:r>
      </w:hyperlink>
    </w:p>
    <w:p>
      <w:pPr>
        <w:spacing w:after="200"/>
      </w:pPr>
      <w:r>
        <w:rPr>
          <w:sz w:val="20"/>
        </w:rPr>
        <w:t>Undated. Supplier specifications, corrective action, reliability monitoring, escalation and Material Review Boards.</w:t>
      </w:r>
    </w:p>
    <w:p>
      <w:pPr>
        <w:keepNext/>
        <w:spacing w:after="60"/>
      </w:pPr>
      <w:r>
        <w:rPr>
          <w:b/>
        </w:rPr>
        <w:t xml:space="preserve">S16  </w:t>
      </w:r>
      <w:hyperlink r:id="rId25">
        <w:r>
          <w:rPr>
            <w:color w:val="000000"/>
            <w:u w:val="single"/>
          </w:rPr>
          <w:t>Marvell Senior Staff ASIC Product Engineer</w:t>
        </w:r>
      </w:hyperlink>
    </w:p>
    <w:p>
      <w:pPr>
        <w:spacing w:after="200"/>
      </w:pPr>
      <w:r>
        <w:rPr>
          <w:sz w:val="20"/>
        </w:rPr>
        <w:t>Employer requisition 2601878, posting date not exposed. Volume data, experiments, test specifications, yield and quality tradeoffs.</w:t>
      </w:r>
    </w:p>
    <w:p>
      <w:pPr>
        <w:keepNext/>
        <w:spacing w:after="60"/>
      </w:pPr>
      <w:r>
        <w:rPr>
          <w:b/>
        </w:rPr>
        <w:t xml:space="preserve">S17  </w:t>
      </w:r>
      <w:hyperlink r:id="rId26">
        <w:r>
          <w:rPr>
            <w:color w:val="000000"/>
            <w:u w:val="single"/>
          </w:rPr>
          <w:t>Marvell Director Custom Silicon Solutions and Program Strategy</w:t>
        </w:r>
      </w:hyperlink>
    </w:p>
    <w:p>
      <w:pPr>
        <w:spacing w:after="200"/>
      </w:pPr>
      <w:r>
        <w:rPr>
          <w:sz w:val="20"/>
        </w:rPr>
        <w:t>Employer requisition 2602272, exact posting date not exposed. Hyperscaler customer, engineering, supply chain, finance and program coordination.</w:t>
      </w:r>
    </w:p>
    <w:p>
      <w:pPr>
        <w:keepNext/>
        <w:spacing w:after="60"/>
      </w:pPr>
      <w:r>
        <w:rPr>
          <w:b/>
        </w:rPr>
        <w:t xml:space="preserve">S18  </w:t>
      </w:r>
      <w:hyperlink r:id="rId27">
        <w:r>
          <w:rPr>
            <w:color w:val="000000"/>
            <w:u w:val="single"/>
          </w:rPr>
          <w:t>NVIDIA Form 10 Q for the quarter ended July 28 2024</w:t>
        </w:r>
      </w:hyperlink>
    </w:p>
    <w:p>
      <w:pPr>
        <w:spacing w:after="200"/>
      </w:pPr>
      <w:r>
        <w:rPr>
          <w:sz w:val="20"/>
        </w:rPr>
        <w:t>Filed 28 August 2024. Blackwell mask change and inventory or excess purchase provisions, including the gross-margin discussion.</w:t>
      </w:r>
    </w:p>
    <w:p>
      <w:pPr>
        <w:keepNext/>
        <w:spacing w:after="60"/>
      </w:pPr>
      <w:r>
        <w:rPr>
          <w:b/>
        </w:rPr>
        <w:t xml:space="preserve">S19  </w:t>
      </w:r>
      <w:hyperlink r:id="rId28">
        <w:r>
          <w:rPr>
            <w:color w:val="000000"/>
            <w:u w:val="single"/>
          </w:rPr>
          <w:t>Teslence Intelligent Method for Retesting a Wafer</w:t>
        </w:r>
      </w:hyperlink>
    </w:p>
    <w:p>
      <w:pPr>
        <w:spacing w:after="200"/>
      </w:pPr>
      <w:r>
        <w:rPr>
          <w:sz w:val="20"/>
        </w:rPr>
        <w:t>Pai Chang and YK Huang, SWTest 2019. PDF pp. 3–8 and 16–19. Supplier-authored wafer-probe example; customer unidentified.</w:t>
      </w:r>
    </w:p>
    <w:p>
      <w:pPr>
        <w:keepNext/>
        <w:spacing w:after="60"/>
      </w:pPr>
      <w:r>
        <w:rPr>
          <w:b/>
        </w:rPr>
        <w:t xml:space="preserve">S20  </w:t>
      </w:r>
      <w:hyperlink r:id="rId29">
        <w:r>
          <w:rPr>
            <w:color w:val="000000"/>
            <w:u w:val="single"/>
          </w:rPr>
          <w:t>proteanTecs Datacenter Chipmaker Case Study</w:t>
        </w:r>
      </w:hyperlink>
    </w:p>
    <w:p>
      <w:pPr>
        <w:spacing w:after="200"/>
      </w:pPr>
      <w:r>
        <w:rPr>
          <w:sz w:val="20"/>
        </w:rPr>
        <w:t>Undated. Datacenter Chipmaker Achieves 2.5D SOC Reliability with 100% Interconnect Coverage. Anonymous vendor-reported 5 nm AI SoC case.</w:t>
      </w:r>
    </w:p>
    <w:p>
      <w:pPr>
        <w:keepNext/>
        <w:spacing w:after="60"/>
      </w:pPr>
      <w:r>
        <w:rPr>
          <w:b/>
        </w:rPr>
        <w:t xml:space="preserve">S21  </w:t>
      </w:r>
      <w:hyperlink r:id="rId30">
        <w:r>
          <w:rPr>
            <w:color w:val="000000"/>
            <w:u w:val="single"/>
          </w:rPr>
          <w:t>ASE Test Services</w:t>
        </w:r>
      </w:hyperlink>
    </w:p>
    <w:p>
      <w:pPr>
        <w:spacing w:after="200"/>
      </w:pPr>
      <w:r>
        <w:rPr>
          <w:sz w:val="20"/>
        </w:rPr>
        <w:t>Undated. Customized wafer, final and system-level test, failure analysis and defined re-screen services.</w:t>
      </w:r>
    </w:p>
    <w:p>
      <w:pPr>
        <w:keepNext/>
        <w:spacing w:after="60"/>
      </w:pPr>
      <w:r>
        <w:rPr>
          <w:b/>
        </w:rPr>
        <w:t xml:space="preserve">S22  </w:t>
      </w:r>
      <w:hyperlink r:id="rId31">
        <w:r>
          <w:rPr>
            <w:color w:val="000000"/>
            <w:u w:val="single"/>
          </w:rPr>
          <w:t>Advantest Adaptive Probe Cleaning</w:t>
        </w:r>
      </w:hyperlink>
    </w:p>
    <w:p>
      <w:pPr>
        <w:spacing w:after="200"/>
      </w:pPr>
      <w:r>
        <w:rPr>
          <w:sz w:val="20"/>
        </w:rPr>
        <w:t>Undated. Probe contamination and cleaning as influences on wafer-test yield; not a packaged-final-test diagnosis.</w:t>
      </w:r>
    </w:p>
    <w:p>
      <w:pPr>
        <w:pStyle w:val="Heading2"/>
      </w:pPr>
      <w:r>
        <w:t>Synthetic scenario references</w:t>
      </w:r>
    </w:p>
    <w:p>
      <w:r>
        <w:t>Stratos Silicon XPU Control Plane Master Reference; repository fixtures/quality_exception.json; fixtures/documents/quality_historical_site_investigation.md; and the supplied QE-004 workflow screenshots. These establish the fictional case only and are not evidence of a real company’s yield performance.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w:t>
      </w:r>
      <w:hyperlink xmlns:ns0="http://schemas.openxmlformats.org/officeDocument/2006/relationships" ns0:id="rId1">
        <w:r>
          <w:rPr>
            <w:color w:val="000000"/>
            <w:u w:val="single"/>
          </w:rPr>
          <w:t>S1 GUC Production Engineering Service</w:t>
        </w:r>
      </w:hyperlink>
      <w:r>
        <w:t xml:space="preserve">; </w:t>
      </w:r>
      <w:hyperlink xmlns:ns0="http://schemas.openxmlformats.org/officeDocument/2006/relationships" ns0:id="rId2">
        <w:r>
          <w:rPr>
            <w:color w:val="000000"/>
            <w:u w:val="single"/>
          </w:rPr>
          <w:t>S2 GUC Supply Chain Management Service</w:t>
        </w:r>
      </w:hyperlink>
    </w:p>
  </w:footnote>
  <w:footnote w:id="2">
    <w:p>
      <w:pPr>
        <w:pStyle w:val="FootnoteText"/>
      </w:pPr>
      <w:r>
        <w:rPr>
          <w:rStyle w:val="FootnoteReference"/>
        </w:rPr>
        <w:footnoteRef/>
      </w:r>
      <w:r>
        <w:t xml:space="preserve"> </w:t>
      </w:r>
      <w:hyperlink xmlns:ns0="http://schemas.openxmlformats.org/officeDocument/2006/relationships" ns0:id="rId3">
        <w:r>
          <w:rPr>
            <w:color w:val="000000"/>
            <w:u w:val="single"/>
          </w:rPr>
          <w:t>S4 Marvell Custom Compute in the AI Era</w:t>
        </w:r>
      </w:hyperlink>
      <w:r>
        <w:t xml:space="preserve">; </w:t>
      </w:r>
      <w:hyperlink xmlns:ns0="http://schemas.openxmlformats.org/officeDocument/2006/relationships" ns0:id="rId4">
        <w:r>
          <w:rPr>
            <w:color w:val="000000"/>
            <w:u w:val="single"/>
          </w:rPr>
          <w:t>S21 ASE Test Services</w:t>
        </w:r>
      </w:hyperlink>
    </w:p>
  </w:footnote>
  <w:footnote w:id="3">
    <w:p>
      <w:pPr>
        <w:pStyle w:val="FootnoteText"/>
      </w:pPr>
      <w:r>
        <w:rPr>
          <w:rStyle w:val="FootnoteReference"/>
        </w:rPr>
        <w:footnoteRef/>
      </w:r>
      <w:r>
        <w:t xml:space="preserve"> </w:t>
      </w:r>
      <w:hyperlink xmlns:ns0="http://schemas.openxmlformats.org/officeDocument/2006/relationships" ns0:id="rId5">
        <w:r>
          <w:rPr>
            <w:color w:val="000000"/>
            <w:u w:val="single"/>
          </w:rPr>
          <w:t>S3 Alchip Product Engineering Services</w:t>
        </w:r>
      </w:hyperlink>
    </w:p>
  </w:footnote>
  <w:footnote w:id="4">
    <w:p>
      <w:pPr>
        <w:pStyle w:val="FootnoteText"/>
      </w:pPr>
      <w:r>
        <w:rPr>
          <w:rStyle w:val="FootnoteReference"/>
        </w:rPr>
        <w:footnoteRef/>
      </w:r>
      <w:r>
        <w:t xml:space="preserve"> </w:t>
      </w:r>
      <w:hyperlink xmlns:ns0="http://schemas.openxmlformats.org/officeDocument/2006/relationships" ns0:id="rId6">
        <w:r>
          <w:rPr>
            <w:color w:val="000000"/>
            <w:u w:val="single"/>
          </w:rPr>
          <w:t>S5 ASE Kaohsiung Test Service</w:t>
        </w:r>
      </w:hyperlink>
      <w:r>
        <w:t xml:space="preserve">; </w:t>
      </w:r>
      <w:hyperlink xmlns:ns0="http://schemas.openxmlformats.org/officeDocument/2006/relationships" ns0:id="rId7">
        <w:r>
          <w:rPr>
            <w:color w:val="000000"/>
            <w:u w:val="single"/>
          </w:rPr>
          <w:t>S6 Amkor Smart Manufacturing Industry 4 0</w:t>
        </w:r>
      </w:hyperlink>
    </w:p>
  </w:footnote>
  <w:footnote w:id="5">
    <w:p>
      <w:pPr>
        <w:pStyle w:val="FootnoteText"/>
      </w:pPr>
      <w:r>
        <w:rPr>
          <w:rStyle w:val="FootnoteReference"/>
        </w:rPr>
        <w:footnoteRef/>
      </w:r>
      <w:r>
        <w:t xml:space="preserve"> </w:t>
      </w:r>
      <w:hyperlink xmlns:ns0="http://schemas.openxmlformats.org/officeDocument/2006/relationships" ns0:id="rId8">
        <w:r>
          <w:rPr>
            <w:color w:val="000000"/>
            <w:u w:val="single"/>
          </w:rPr>
          <w:t>S8 Qualcomm TestConX keynote</w:t>
        </w:r>
      </w:hyperlink>
    </w:p>
  </w:footnote>
  <w:footnote w:id="6">
    <w:p>
      <w:pPr>
        <w:pStyle w:val="FootnoteText"/>
      </w:pPr>
      <w:r>
        <w:rPr>
          <w:rStyle w:val="FootnoteReference"/>
        </w:rPr>
        <w:footnoteRef/>
      </w:r>
      <w:r>
        <w:t xml:space="preserve"> </w:t>
      </w:r>
      <w:hyperlink xmlns:ns0="http://schemas.openxmlformats.org/officeDocument/2006/relationships" ns0:id="rId9">
        <w:r>
          <w:rPr>
            <w:color w:val="000000"/>
            <w:u w:val="single"/>
          </w:rPr>
          <w:t>S7 Teradyne Site to Site Variation in Parallel Test</w:t>
        </w:r>
      </w:hyperlink>
    </w:p>
  </w:footnote>
  <w:footnote w:id="7">
    <w:p>
      <w:pPr>
        <w:pStyle w:val="FootnoteText"/>
      </w:pPr>
      <w:r>
        <w:rPr>
          <w:rStyle w:val="FootnoteReference"/>
        </w:rPr>
        <w:footnoteRef/>
      </w:r>
      <w:r>
        <w:t xml:space="preserve"> </w:t>
      </w:r>
      <w:hyperlink xmlns:ns0="http://schemas.openxmlformats.org/officeDocument/2006/relationships" ns0:id="rId10">
        <w:r>
          <w:rPr>
            <w:color w:val="000000"/>
            <w:u w:val="single"/>
          </w:rPr>
          <w:t>S10 onsemi Supplier Handbook</w:t>
        </w:r>
      </w:hyperlink>
    </w:p>
  </w:footnote>
  <w:footnote w:id="8">
    <w:p>
      <w:pPr>
        <w:pStyle w:val="FootnoteText"/>
      </w:pPr>
      <w:r>
        <w:rPr>
          <w:rStyle w:val="FootnoteReference"/>
        </w:rPr>
        <w:footnoteRef/>
      </w:r>
      <w:r>
        <w:t xml:space="preserve"> </w:t>
      </w:r>
      <w:hyperlink xmlns:ns0="http://schemas.openxmlformats.org/officeDocument/2006/relationships" ns0:id="rId11">
        <w:r>
          <w:rPr>
            <w:color w:val="000000"/>
            <w:u w:val="single"/>
          </w:rPr>
          <w:t>S22 Advantest Adaptive Probe Cleaning</w:t>
        </w:r>
      </w:hyperlink>
    </w:p>
  </w:footnote>
  <w:footnote w:id="9">
    <w:p>
      <w:pPr>
        <w:pStyle w:val="FootnoteText"/>
      </w:pPr>
      <w:r>
        <w:rPr>
          <w:rStyle w:val="FootnoteReference"/>
        </w:rPr>
        <w:footnoteRef/>
      </w:r>
      <w:r>
        <w:t xml:space="preserve"> </w:t>
      </w:r>
      <w:hyperlink xmlns:ns0="http://schemas.openxmlformats.org/officeDocument/2006/relationships" ns0:id="rId12">
        <w:r>
          <w:rPr>
            <w:color w:val="000000"/>
            <w:u w:val="single"/>
          </w:rPr>
          <w:t>S11 Infineon Failure Analysis</w:t>
        </w:r>
      </w:hyperlink>
    </w:p>
  </w:footnote>
  <w:footnote w:id="10">
    <w:p>
      <w:pPr>
        <w:pStyle w:val="FootnoteText"/>
      </w:pPr>
      <w:r>
        <w:rPr>
          <w:rStyle w:val="FootnoteReference"/>
        </w:rPr>
        <w:footnoteRef/>
      </w:r>
      <w:r>
        <w:t xml:space="preserve"> </w:t>
      </w:r>
      <w:hyperlink xmlns:ns0="http://schemas.openxmlformats.org/officeDocument/2006/relationships" ns0:id="rId13">
        <w:r>
          <w:rPr>
            <w:color w:val="000000"/>
            <w:u w:val="single"/>
          </w:rPr>
          <w:t>S12 Amkor Meeting the Challenges of 5G RF Production Test Services</w:t>
        </w:r>
      </w:hyperlink>
    </w:p>
  </w:footnote>
  <w:footnote w:id="11">
    <w:p>
      <w:pPr>
        <w:pStyle w:val="FootnoteText"/>
      </w:pPr>
      <w:r>
        <w:rPr>
          <w:rStyle w:val="FootnoteReference"/>
        </w:rPr>
        <w:footnoteRef/>
      </w:r>
      <w:r>
        <w:t xml:space="preserve"> </w:t>
      </w:r>
      <w:hyperlink xmlns:ns0="http://schemas.openxmlformats.org/officeDocument/2006/relationships" ns0:id="rId14">
        <w:r>
          <w:rPr>
            <w:color w:val="000000"/>
            <w:u w:val="single"/>
          </w:rPr>
          <w:t>S13 NI Automated Test Outlook 2016</w:t>
        </w:r>
      </w:hyperlink>
    </w:p>
  </w:footnote>
  <w:footnote w:id="12">
    <w:p>
      <w:pPr>
        <w:pStyle w:val="FootnoteText"/>
      </w:pPr>
      <w:r>
        <w:rPr>
          <w:rStyle w:val="FootnoteReference"/>
        </w:rPr>
        <w:footnoteRef/>
      </w:r>
      <w:r>
        <w:t xml:space="preserve"> </w:t>
      </w:r>
      <w:hyperlink xmlns:ns0="http://schemas.openxmlformats.org/officeDocument/2006/relationships" ns0:id="rId15">
        <w:r>
          <w:rPr>
            <w:color w:val="000000"/>
            <w:u w:val="single"/>
          </w:rPr>
          <w:t>S14 NXP Change Management and Customer Communication</w:t>
        </w:r>
      </w:hyperlink>
    </w:p>
  </w:footnote>
  <w:footnote w:id="13">
    <w:p>
      <w:pPr>
        <w:pStyle w:val="FootnoteText"/>
      </w:pPr>
      <w:r>
        <w:rPr>
          <w:rStyle w:val="FootnoteReference"/>
        </w:rPr>
        <w:footnoteRef/>
      </w:r>
      <w:r>
        <w:t xml:space="preserve"> </w:t>
      </w:r>
      <w:hyperlink xmlns:ns0="http://schemas.openxmlformats.org/officeDocument/2006/relationships" ns0:id="rId16">
        <w:r>
          <w:rPr>
            <w:color w:val="000000"/>
            <w:u w:val="single"/>
          </w:rPr>
          <w:t>S15 AMD Manufacturing Quality</w:t>
        </w:r>
      </w:hyperlink>
      <w:r>
        <w:t xml:space="preserve">; </w:t>
      </w:r>
      <w:hyperlink xmlns:ns0="http://schemas.openxmlformats.org/officeDocument/2006/relationships" ns0:id="rId17">
        <w:r>
          <w:rPr>
            <w:color w:val="000000"/>
            <w:u w:val="single"/>
          </w:rPr>
          <w:t>S9 Texas Instruments General Quality Guidelines</w:t>
        </w:r>
      </w:hyperlink>
    </w:p>
  </w:footnote>
  <w:footnote w:id="14">
    <w:p>
      <w:pPr>
        <w:pStyle w:val="FootnoteText"/>
      </w:pPr>
      <w:r>
        <w:rPr>
          <w:rStyle w:val="FootnoteReference"/>
        </w:rPr>
        <w:footnoteRef/>
      </w:r>
      <w:r>
        <w:t xml:space="preserve"> </w:t>
      </w:r>
      <w:hyperlink xmlns:ns0="http://schemas.openxmlformats.org/officeDocument/2006/relationships" ns0:id="rId18">
        <w:r>
          <w:rPr>
            <w:color w:val="000000"/>
            <w:u w:val="single"/>
          </w:rPr>
          <w:t>S16 Marvell Senior Staff ASIC Product Engineer</w:t>
        </w:r>
      </w:hyperlink>
      <w:r>
        <w:t xml:space="preserve">; </w:t>
      </w:r>
      <w:hyperlink xmlns:ns0="http://schemas.openxmlformats.org/officeDocument/2006/relationships" ns0:id="rId19">
        <w:r>
          <w:rPr>
            <w:color w:val="000000"/>
            <w:u w:val="single"/>
          </w:rPr>
          <w:t>S17 Marvell Director Custom Silicon Solutions and Program Strategy</w:t>
        </w:r>
      </w:hyperlink>
    </w:p>
  </w:footnote>
  <w:footnote w:id="15">
    <w:p>
      <w:pPr>
        <w:pStyle w:val="FootnoteText"/>
      </w:pPr>
      <w:r>
        <w:rPr>
          <w:rStyle w:val="FootnoteReference"/>
        </w:rPr>
        <w:footnoteRef/>
      </w:r>
      <w:r>
        <w:t xml:space="preserve"> </w:t>
      </w:r>
      <w:hyperlink xmlns:ns0="http://schemas.openxmlformats.org/officeDocument/2006/relationships" ns0:id="rId20">
        <w:r>
          <w:rPr>
            <w:color w:val="000000"/>
            <w:u w:val="single"/>
          </w:rPr>
          <w:t>S18 NVIDIA Form 10 Q for the quarter ended July 28 2024</w:t>
        </w:r>
      </w:hyperlink>
    </w:p>
  </w:footnote>
  <w:footnote w:id="16">
    <w:p>
      <w:pPr>
        <w:pStyle w:val="FootnoteText"/>
      </w:pPr>
      <w:r>
        <w:rPr>
          <w:rStyle w:val="FootnoteReference"/>
        </w:rPr>
        <w:footnoteRef/>
      </w:r>
      <w:r>
        <w:t xml:space="preserve"> </w:t>
      </w:r>
      <w:hyperlink xmlns:ns0="http://schemas.openxmlformats.org/officeDocument/2006/relationships" ns0:id="rId2">
        <w:r>
          <w:rPr>
            <w:color w:val="000000"/>
            <w:u w:val="single"/>
          </w:rPr>
          <w:t>S2 GUC Supply Chain Management Service</w:t>
        </w:r>
      </w:hyperlink>
    </w:p>
  </w:footnote>
  <w:footnote w:id="17">
    <w:p>
      <w:pPr>
        <w:pStyle w:val="FootnoteText"/>
      </w:pPr>
      <w:r>
        <w:rPr>
          <w:rStyle w:val="FootnoteReference"/>
        </w:rPr>
        <w:footnoteRef/>
      </w:r>
      <w:r>
        <w:t xml:space="preserve"> </w:t>
      </w:r>
      <w:hyperlink xmlns:ns0="http://schemas.openxmlformats.org/officeDocument/2006/relationships" ns0:id="rId8">
        <w:r>
          <w:rPr>
            <w:color w:val="000000"/>
            <w:u w:val="single"/>
          </w:rPr>
          <w:t>S8 Qualcomm TestConX keynote</w:t>
        </w:r>
      </w:hyperlink>
    </w:p>
  </w:footnote>
  <w:footnote w:id="18">
    <w:p>
      <w:pPr>
        <w:pStyle w:val="FootnoteText"/>
      </w:pPr>
      <w:r>
        <w:rPr>
          <w:rStyle w:val="FootnoteReference"/>
        </w:rPr>
        <w:footnoteRef/>
      </w:r>
      <w:r>
        <w:t xml:space="preserve"> </w:t>
      </w:r>
      <w:hyperlink xmlns:ns0="http://schemas.openxmlformats.org/officeDocument/2006/relationships" ns0:id="rId21">
        <w:r>
          <w:rPr>
            <w:color w:val="000000"/>
            <w:u w:val="single"/>
          </w:rPr>
          <w:t>S19 Teslence Intelligent Method for Retesting a Wafer</w:t>
        </w:r>
      </w:hyperlink>
    </w:p>
  </w:footnote>
  <w:footnote w:id="19">
    <w:p>
      <w:pPr>
        <w:pStyle w:val="FootnoteText"/>
      </w:pPr>
      <w:r>
        <w:rPr>
          <w:rStyle w:val="FootnoteReference"/>
        </w:rPr>
        <w:footnoteRef/>
      </w:r>
      <w:r>
        <w:t xml:space="preserve"> </w:t>
      </w:r>
      <w:hyperlink xmlns:ns0="http://schemas.openxmlformats.org/officeDocument/2006/relationships" ns0:id="rId22">
        <w:r>
          <w:rPr>
            <w:color w:val="000000"/>
            <w:u w:val="single"/>
          </w:rPr>
          <w:t>S20 proteanTecs Datacenter Chipmaker Case Study</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after="40" w:line="240" w:lineRule="auto"/>
    </w:pPr>
    <w:rPr>
      <w:rFonts w:ascii="Calibri" w:hAnsi="Calibri"/>
      <w:color w:val="000000"/>
      <w:sz w:val="17"/>
    </w:rPr>
  </w:style>
  <w:style w:type="character" w:customStyle="1" w:styleId="FootnoteReference">
    <w:name w:val="Footnote Reference"/>
    <w:rPr>
      <w:rFonts w:ascii="Calibri" w:hAnsi="Calibri"/>
      <w:color w:val="000000"/>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www.guc-asic.com/en/solutions/ASICProductionService/ProdutionEngineeringService" TargetMode="External"/><Relationship Id="rId11" Type="http://schemas.openxmlformats.org/officeDocument/2006/relationships/hyperlink" Target="https://www.guc-asic.com/en/solutions/overview/SupplyChainManagementService" TargetMode="External"/><Relationship Id="rId12" Type="http://schemas.openxmlformats.org/officeDocument/2006/relationships/hyperlink" Target="https://www.alchip.com/public/cn/ASIC_Turnkey_Solutions/Production_Services/Product_Engineering_Services" TargetMode="External"/><Relationship Id="rId13" Type="http://schemas.openxmlformats.org/officeDocument/2006/relationships/hyperlink" Target="https://www.marvell.com/blogs/custom-compute-in-th-ai-era.html" TargetMode="External"/><Relationship Id="rId14" Type="http://schemas.openxmlformats.org/officeDocument/2006/relationships/hyperlink" Target="https://asekh.aseglobal.com/products-services/test.html" TargetMode="External"/><Relationship Id="rId15" Type="http://schemas.openxmlformats.org/officeDocument/2006/relationships/hyperlink" Target="https://amkor.com/smart-manufacturing/" TargetMode="External"/><Relationship Id="rId16" Type="http://schemas.openxmlformats.org/officeDocument/2006/relationships/hyperlink" Target="https://www.teradyne.com/2022/01/24/site-to-site-variation-in-parallel-test/" TargetMode="External"/><Relationship Id="rId17" Type="http://schemas.openxmlformats.org/officeDocument/2006/relationships/hyperlink" Target="https://www.testconx.org/premium/wp-content/uploads/2019/TestConX2019KeynoteCampbell_1257.pdf" TargetMode="External"/><Relationship Id="rId18" Type="http://schemas.openxmlformats.org/officeDocument/2006/relationships/hyperlink" Target="https://www.ti.com/lit/szzq076" TargetMode="External"/><Relationship Id="rId19" Type="http://schemas.openxmlformats.org/officeDocument/2006/relationships/hyperlink" Target="https://www.onsemi.com/pub/Collateral/BRD8024S-D.PDF" TargetMode="External"/><Relationship Id="rId20" Type="http://schemas.openxmlformats.org/officeDocument/2006/relationships/hyperlink" Target="https://www.infineon.com/quality/quality-management/failure-analysis" TargetMode="External"/><Relationship Id="rId21" Type="http://schemas.openxmlformats.org/officeDocument/2006/relationships/hyperlink" Target="https://amkor.com/blog/meeting-the-challenges-of-5g-rf-production-test-services/" TargetMode="External"/><Relationship Id="rId22" Type="http://schemas.openxmlformats.org/officeDocument/2006/relationships/hyperlink" Target="https://download.ni.com/evaluation/ate/ato2016.pdf" TargetMode="External"/><Relationship Id="rId23" Type="http://schemas.openxmlformats.org/officeDocument/2006/relationships/hyperlink" Target="https://www.nxp.com/products/nxp-product-information/quality/change-management-and-customer-communication:QUALITY_CHGMGMT" TargetMode="External"/><Relationship Id="rId24" Type="http://schemas.openxmlformats.org/officeDocument/2006/relationships/hyperlink" Target="https://www.amd.com/en/corporate/quality/manufacturing.html" TargetMode="External"/><Relationship Id="rId25" Type="http://schemas.openxmlformats.org/officeDocument/2006/relationships/hyperlink" Target="https://marvell.wd1.myworkdayjobs.com/en-US/MarvellCareers/job/Senior-Staff-ASIC-Product-Engineer_2601878" TargetMode="External"/><Relationship Id="rId26" Type="http://schemas.openxmlformats.org/officeDocument/2006/relationships/hyperlink" Target="https://marvell.wd1.myworkdayjobs.com/MarvellCareers/job/Irvine-CA/Director--Custom-Silicon-Solutions-and-Program-Strategy_2602272" TargetMode="External"/><Relationship Id="rId27" Type="http://schemas.openxmlformats.org/officeDocument/2006/relationships/hyperlink" Target="https://www.sec.gov/Archives/edgar/data/1045810/000104581024000264/nvda-20240728.htm" TargetMode="External"/><Relationship Id="rId28" Type="http://schemas.openxmlformats.org/officeDocument/2006/relationships/hyperlink" Target="https://www.swtest.org/library/2019proc/pdf/S02_02_Chang_SWTest_2019.pdf" TargetMode="External"/><Relationship Id="rId29" Type="http://schemas.openxmlformats.org/officeDocument/2006/relationships/hyperlink" Target="https://www.proteantecs.com/hubfs/proteanTecs-CaseStudy-D2D%20Outlier%20Detection.pdf?hsLang=en" TargetMode="External"/><Relationship Id="rId30" Type="http://schemas.openxmlformats.org/officeDocument/2006/relationships/hyperlink" Target="https://ase.aseglobal.com/test-services/" TargetMode="External"/><Relationship Id="rId31" Type="http://schemas.openxmlformats.org/officeDocument/2006/relationships/hyperlink" Target="https://www.advantest.com/en/customer-services/solution/ap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uc-asic.com/en/solutions/ASICProductionService/ProdutionEngineeringService" TargetMode="External"/><Relationship Id="rId2" Type="http://schemas.openxmlformats.org/officeDocument/2006/relationships/hyperlink" Target="https://www.guc-asic.com/en/solutions/overview/SupplyChainManagementService" TargetMode="External"/><Relationship Id="rId3" Type="http://schemas.openxmlformats.org/officeDocument/2006/relationships/hyperlink" Target="https://www.marvell.com/blogs/custom-compute-in-th-ai-era.html" TargetMode="External"/><Relationship Id="rId4" Type="http://schemas.openxmlformats.org/officeDocument/2006/relationships/hyperlink" Target="https://ase.aseglobal.com/test-services/" TargetMode="External"/><Relationship Id="rId5" Type="http://schemas.openxmlformats.org/officeDocument/2006/relationships/hyperlink" Target="https://www.alchip.com/public/cn/ASIC_Turnkey_Solutions/Production_Services/Product_Engineering_Services" TargetMode="External"/><Relationship Id="rId6" Type="http://schemas.openxmlformats.org/officeDocument/2006/relationships/hyperlink" Target="https://asekh.aseglobal.com/products-services/test.html" TargetMode="External"/><Relationship Id="rId7" Type="http://schemas.openxmlformats.org/officeDocument/2006/relationships/hyperlink" Target="https://amkor.com/smart-manufacturing/" TargetMode="External"/><Relationship Id="rId8" Type="http://schemas.openxmlformats.org/officeDocument/2006/relationships/hyperlink" Target="https://www.testconx.org/premium/wp-content/uploads/2019/TestConX2019KeynoteCampbell_1257.pdf" TargetMode="External"/><Relationship Id="rId9" Type="http://schemas.openxmlformats.org/officeDocument/2006/relationships/hyperlink" Target="https://www.teradyne.com/2022/01/24/site-to-site-variation-in-parallel-test/" TargetMode="External"/><Relationship Id="rId10" Type="http://schemas.openxmlformats.org/officeDocument/2006/relationships/hyperlink" Target="https://www.onsemi.com/pub/Collateral/BRD8024S-D.PDF" TargetMode="External"/><Relationship Id="rId11" Type="http://schemas.openxmlformats.org/officeDocument/2006/relationships/hyperlink" Target="https://www.advantest.com/en/customer-services/solution/apc/" TargetMode="External"/><Relationship Id="rId12" Type="http://schemas.openxmlformats.org/officeDocument/2006/relationships/hyperlink" Target="https://www.infineon.com/quality/quality-management/failure-analysis" TargetMode="External"/><Relationship Id="rId13" Type="http://schemas.openxmlformats.org/officeDocument/2006/relationships/hyperlink" Target="https://amkor.com/blog/meeting-the-challenges-of-5g-rf-production-test-services/" TargetMode="External"/><Relationship Id="rId14" Type="http://schemas.openxmlformats.org/officeDocument/2006/relationships/hyperlink" Target="https://download.ni.com/evaluation/ate/ato2016.pdf" TargetMode="External"/><Relationship Id="rId15" Type="http://schemas.openxmlformats.org/officeDocument/2006/relationships/hyperlink" Target="https://www.nxp.com/products/nxp-product-information/quality/change-management-and-customer-communication:QUALITY_CHGMGMT" TargetMode="External"/><Relationship Id="rId16" Type="http://schemas.openxmlformats.org/officeDocument/2006/relationships/hyperlink" Target="https://www.amd.com/en/corporate/quality/manufacturing.html" TargetMode="External"/><Relationship Id="rId17" Type="http://schemas.openxmlformats.org/officeDocument/2006/relationships/hyperlink" Target="https://www.ti.com/lit/szzq076" TargetMode="External"/><Relationship Id="rId18" Type="http://schemas.openxmlformats.org/officeDocument/2006/relationships/hyperlink" Target="https://marvell.wd1.myworkdayjobs.com/en-US/MarvellCareers/job/Senior-Staff-ASIC-Product-Engineer_2601878" TargetMode="External"/><Relationship Id="rId19" Type="http://schemas.openxmlformats.org/officeDocument/2006/relationships/hyperlink" Target="https://marvell.wd1.myworkdayjobs.com/MarvellCareers/job/Irvine-CA/Director--Custom-Silicon-Solutions-and-Program-Strategy_2602272" TargetMode="External"/><Relationship Id="rId20" Type="http://schemas.openxmlformats.org/officeDocument/2006/relationships/hyperlink" Target="https://www.sec.gov/Archives/edgar/data/1045810/000104581024000264/nvda-20240728.htm" TargetMode="External"/><Relationship Id="rId21" Type="http://schemas.openxmlformats.org/officeDocument/2006/relationships/hyperlink" Target="https://www.swtest.org/library/2019proc/pdf/S02_02_Chang_SWTest_2019.pdf" TargetMode="External"/><Relationship Id="rId22" Type="http://schemas.openxmlformats.org/officeDocument/2006/relationships/hyperlink" Target="https://www.proteantecs.com/hubfs/proteanTecs-CaseStudy-D2D%20Outlier%20Detection.pdf?hs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Protection in Custom Semiconductor Programs</dc:title>
  <dc:subject>Industry research and assessment of the QE-004 demo workflow</dc:subject>
  <dc:creator>Research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