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Raport privind Digitalizarea și Implementarea Inteligenței Artificiale în Administrația Publică din România</w:t>
      </w:r>
    </w:p>
    <w:p>
      <w:pPr>
        <w:pStyle w:val="MdParagraph"/>
      </w:pPr>
      <w:r>
        <w:rPr>
          <w:rStyle w:val="MdStrong"/>
          <w:b/>
          <w:bCs/>
        </w:rPr>
        <w:t xml:space="preserve">Autor:</w:t>
      </w:r>
      <w:r>
        <w:t xml:space="preserve"> Manus AI</w:t>
      </w:r>
    </w:p>
    <w:p>
      <w:pPr>
        <w:pStyle w:val="MdSpace"/>
        <w:spacing w:before="0" w:after="60"/>
      </w:pPr>
    </w:p>
    <w:p>
      <w:pPr>
        <w:pStyle w:val="MdParagraph"/>
      </w:pPr>
      <w:r>
        <w:rPr>
          <w:rStyle w:val="MdStrong"/>
          <w:b/>
          <w:bCs/>
        </w:rPr>
        <w:t xml:space="preserve">Data:</w:t>
      </w:r>
      <w:r>
        <w:t xml:space="preserve"> 2 Martie 2026</w:t>
      </w:r>
    </w:p>
    <w:p>
      <w:pPr>
        <w:pStyle w:val="MdSpace"/>
        <w:spacing w:before="0" w:after="60"/>
      </w:pPr>
    </w:p>
    <w:p>
      <w:pPr>
        <w:pStyle w:val="Heading2"/>
        <w:pStyle w:val="MdHeading2"/>
      </w:pPr>
      <w:r>
        <w:t xml:space="preserve">Introducere</w:t>
      </w:r>
    </w:p>
    <w:p>
      <w:pPr>
        <w:pStyle w:val="MdParagraph"/>
      </w:pPr>
      <w:r>
        <w:t xml:space="preserve">Digitalizarea și integrarea inteligenței artificiale (AI) în administrația publică reprezintă piloni esențiali pentru modernizarea statului și îmbunătățirea calității serviciilor oferite cetățenilor. În contextul european, România se confruntă cu provocări semnificative în acest domeniu, dar și cu oportunități substanțiale de progres. Acest raport analizează stadiul actual al digitalizării și al implementării AI în aparatul de stat românesc, identifică barierele existente și propune soluții concrete pentru o transformare digitală eficientă și sustenabilă.</w:t>
      </w:r>
    </w:p>
    <w:p>
      <w:pPr>
        <w:pStyle w:val="MdSpace"/>
        <w:spacing w:before="0" w:after="60"/>
      </w:pPr>
    </w:p>
    <w:p>
      <w:pPr>
        <w:pStyle w:val="Heading2"/>
        <w:pStyle w:val="MdHeading2"/>
      </w:pPr>
      <w:r>
        <w:t xml:space="preserve">1. Stadiul Actual al Digitalizării și AI în Administrația Publică din România</w:t>
      </w:r>
    </w:p>
    <w:p>
      <w:pPr>
        <w:pStyle w:val="MdParagraph"/>
      </w:pPr>
      <w:r>
        <w:t xml:space="preserve">Conform rapoartelor recente, inclusiv cele din cadrul Digital Economy and Society Index (DESI), România continuă să ocupe o poziție inferioară în clasamentul european privind digitalizarea. Cu toate acestea, există semne de progres, cu o creștere raportată de 20% în digitalizarea administrației în 2025 [1]. Performanța în ceea ce privește serviciile publice digitale rămâne însă scăzută, în special în comparație cu media Uniunii Europene. De exemplu, scorul pentru formularele pre-completate este de aproximativ 6 puncte, mult sub media europeană de 63 de puncte [2].</w:t>
      </w:r>
    </w:p>
    <w:p>
      <w:pPr>
        <w:pStyle w:val="MdSpace"/>
        <w:spacing w:before="0" w:after="60"/>
      </w:pPr>
    </w:p>
    <w:p>
      <w:pPr>
        <w:pStyle w:val="MdParagraph"/>
      </w:pPr>
      <w:r>
        <w:t xml:space="preserve">Un aspect crucial al strategiei de digitalizare este dezvoltarea infrastructurii, cu un accent deosebit pe implementarea </w:t>
      </w:r>
      <w:r>
        <w:rPr>
          <w:rStyle w:val="MdStrong"/>
          <w:b/>
          <w:bCs/>
        </w:rPr>
        <w:t xml:space="preserve">Cloud-ului Guvernamental</w:t>
      </w:r>
      <w:r>
        <w:t xml:space="preserve">. Acesta este considerat o resursă strategică pentru stocarea și gestionarea datelor, esențială pentru asigurarea interoperabilității și securității informațiilor [3].</w:t>
      </w:r>
    </w:p>
    <w:p>
      <w:pPr>
        <w:pStyle w:val="MdSpace"/>
        <w:spacing w:before="0" w:after="60"/>
      </w:pPr>
    </w:p>
    <w:p>
      <w:pPr>
        <w:pStyle w:val="MdParagraph"/>
      </w:pPr>
      <w:r>
        <w:t xml:space="preserve">În ceea ce privește inteligența artificială, România a elaborat o </w:t>
      </w:r>
      <w:r>
        <w:rPr>
          <w:rStyle w:val="MdStrong"/>
          <w:b/>
          <w:bCs/>
        </w:rPr>
        <w:t xml:space="preserve">Strategie Națională în Domeniul Inteligenței Artificiale pentru perioada 2024-2027</w:t>
      </w:r>
      <w:r>
        <w:t xml:space="preserve"> [4]. Această strategie vizează adoptarea sigură a AI în sectorul public, îmbunătățirea interoperabilității datelor, dezvoltarea capitalului uman și stimularea finanțării cercetării și dezvoltării (R&amp;D) în domeniu. Potențialul economic al implementării AI este considerabil; estimările sugerează că integrarea inteligenței artificiale generative (GenAI) în sectorul public ar putea genera beneficii anuale de până la 1 miliard de euro prin creșterea productivității [5].</w:t>
      </w:r>
    </w:p>
    <w:p>
      <w:pPr>
        <w:pStyle w:val="MdSpace"/>
        <w:spacing w:before="0" w:after="60"/>
      </w:pPr>
    </w:p>
    <w:p>
      <w:pPr>
        <w:pStyle w:val="Heading2"/>
        <w:pStyle w:val="MdHeading2"/>
      </w:pPr>
      <w:r>
        <w:t xml:space="preserve">2. Bariere și Provocări</w:t>
      </w:r>
    </w:p>
    <w:p>
      <w:pPr>
        <w:pStyle w:val="MdParagraph"/>
      </w:pPr>
      <w:r>
        <w:t xml:space="preserve">Implementarea digitalizării și a AI în administrația publică din România se confruntă cu multiple obstacole, care pot fi clasificate în categorii culturale, sistemice, umane și legislative:</w:t>
      </w:r>
    </w:p>
    <w:p>
      <w:pPr>
        <w:pStyle w:val="MdSpace"/>
        <w:spacing w:before="0" w:after="60"/>
      </w:pPr>
    </w:p>
    <w:p>
      <w:pPr>
        <w:pStyle w:val="MdListItem"/>
        <w:numPr>
          <w:ilvl w:val="0"/>
          <w:numId w:val="2"/>
        </w:numPr>
      </w:pPr>
      <w:r>
        <w:rPr>
          <w:rStyle w:val="MdStrong"/>
          <w:b/>
          <w:bCs/>
        </w:rPr>
        <w:t xml:space="preserve">Bariere Culturale și Birocratice:</w:t>
      </w:r>
      <w:r>
        <w:t xml:space="preserve">O problemă fundamentală este persistența unei culturi birocratice axate pe documente fizice. Așa cum a fost menționat, utilizarea excesivă a hârtiei pentru </w:t>
      </w:r>
      <w:r>
        <w:br/>
        <w:t xml:space="preserve">"acoperirea cu semnături" și justificarea postului, chiar și în prezența comunicării electronice, indică o rezistență la schimbare și o lipsă de încredere în sistemele digitale [6].</w:t>
      </w:r>
    </w:p>
    <w:p>
      <w:pPr>
        <w:pStyle w:val="MdListItem"/>
        <w:numPr>
          <w:ilvl w:val="0"/>
          <w:numId w:val="2"/>
        </w:numPr>
      </w:pPr>
      <w:r>
        <w:rPr>
          <w:rStyle w:val="MdStrong"/>
          <w:b/>
          <w:bCs/>
        </w:rPr>
        <w:t xml:space="preserve">Bariere Sistemice:</w:t>
      </w:r>
      <w:r>
        <w:t xml:space="preserve"> Lipsa interoperabilității între diferitele baze de date ale instituțiilor publice reprezintă un impediment major. Multe dintre aceste "baze de date" există încă în format fizic, pe hârtie, ceea ce îngreunează schimbul de informații și automatizarea proceselor. Fragmentarea sistemelor informatice existente și lipsa unor standarde comune contribuie la ineficiență [7].</w:t>
      </w:r>
    </w:p>
    <w:p>
      <w:pPr>
        <w:pStyle w:val="MdListItem"/>
        <w:numPr>
          <w:ilvl w:val="0"/>
          <w:numId w:val="2"/>
        </w:numPr>
      </w:pPr>
      <w:r>
        <w:rPr>
          <w:rStyle w:val="MdStrong"/>
          <w:b/>
          <w:bCs/>
        </w:rPr>
        <w:t xml:space="preserve">Bariere Umane:</w:t>
      </w:r>
      <w:r>
        <w:t xml:space="preserve"> Există un deficit semnificativ de competențe digitale în rândul funcționarilor publici. Această lipsă de pregătire limitează capacitatea de adoptare și utilizare eficientă a noilor tehnologii, inclusiv a soluțiilor AI. Necesitatea de a investi în programe de formare și recalificare este stringentă [8].</w:t>
      </w:r>
    </w:p>
    <w:p>
      <w:pPr>
        <w:pStyle w:val="MdListItem"/>
        <w:numPr>
          <w:ilvl w:val="0"/>
          <w:numId w:val="2"/>
        </w:numPr>
      </w:pPr>
      <w:r>
        <w:rPr>
          <w:rStyle w:val="MdStrong"/>
          <w:b/>
          <w:bCs/>
        </w:rPr>
        <w:t xml:space="preserve">Bariere Legislative și de Reglementare:</w:t>
      </w:r>
      <w:r>
        <w:t xml:space="preserve"> Deși există o strategie națională pentru AI, cadrul legislativ și de reglementare specific pentru implementarea și utilizarea AI în sectorul public este încă în curs de dezvoltare. Nevoia de standardizare și de elaborare a unor norme clare privind etica, securitatea și responsabilitatea în utilizarea AI este esențială pentru a asigura o adoptare sigură și eficientă [9].</w:t>
      </w:r>
    </w:p>
    <w:p>
      <w:pPr>
        <w:pStyle w:val="MdSpace"/>
        <w:spacing w:before="0" w:after="60"/>
      </w:pPr>
    </w:p>
    <w:p>
      <w:pPr>
        <w:pStyle w:val="Heading2"/>
        <w:pStyle w:val="MdHeading2"/>
      </w:pPr>
      <w:r>
        <w:t xml:space="preserve">3. Inițiative și Programe Curente</w:t>
      </w:r>
    </w:p>
    <w:p>
      <w:pPr>
        <w:pStyle w:val="MdParagraph"/>
      </w:pPr>
      <w:r>
        <w:t xml:space="preserve">Guvernul României a demarat o serie de inițiative și programe menite să accelereze procesul de digitalizare și să faciliteze integrarea AI:</w:t>
      </w:r>
    </w:p>
    <w:p>
      <w:pPr>
        <w:pStyle w:val="MdSpace"/>
        <w:spacing w:before="0" w:after="60"/>
      </w:pPr>
    </w:p>
    <w:p>
      <w:pPr>
        <w:pStyle w:val="MdListItem"/>
        <w:numPr>
          <w:ilvl w:val="0"/>
          <w:numId w:val="2"/>
        </w:numPr>
      </w:pPr>
      <w:r>
        <w:rPr>
          <w:rStyle w:val="MdStrong"/>
          <w:b/>
          <w:bCs/>
        </w:rPr>
        <w:t xml:space="preserve">Programul Național pentru Transformarea Digitală a Autorităților Publice Locale (DigiLocal):</w:t>
      </w:r>
      <w:r>
        <w:t xml:space="preserve"> Cu un buget de 200 de milioane de lei pentru perioada 2024-2025, acest program vizează modernizarea serviciilor publice la nivel local, îmbunătățind interacțiunea dintre cetățeni, mediul de afaceri și administrație [10].</w:t>
      </w:r>
    </w:p>
    <w:p>
      <w:pPr>
        <w:pStyle w:val="MdListItem"/>
        <w:numPr>
          <w:ilvl w:val="0"/>
          <w:numId w:val="2"/>
        </w:numPr>
      </w:pPr>
      <w:r>
        <w:rPr>
          <w:rStyle w:val="MdStrong"/>
          <w:b/>
          <w:bCs/>
        </w:rPr>
        <w:t xml:space="preserve">Cloud-ul Guvernamental:</w:t>
      </w:r>
      <w:r>
        <w:t xml:space="preserve"> Acest proiect strategic este fundamental pentru consolidarea infrastructurii digitale, oferind o platformă centralizată și securizată pentru stocarea și procesarea datelor guvernamentale [3].</w:t>
      </w:r>
    </w:p>
    <w:p>
      <w:pPr>
        <w:pStyle w:val="MdListItem"/>
        <w:numPr>
          <w:ilvl w:val="0"/>
          <w:numId w:val="2"/>
        </w:numPr>
      </w:pPr>
      <w:r>
        <w:rPr>
          <w:rStyle w:val="MdStrong"/>
          <w:b/>
          <w:bCs/>
        </w:rPr>
        <w:t xml:space="preserve">Strategia pentru Guvernare Deschisă (2025-2027):</w:t>
      </w:r>
      <w:r>
        <w:t xml:space="preserve"> Această strategie pune accent pe transparență, participare civică și deschiderea datelor guvernamentale, elemente cheie pentru o administrație modernă și responsabilă [11].</w:t>
      </w:r>
    </w:p>
    <w:p>
      <w:pPr>
        <w:pStyle w:val="MdSpace"/>
        <w:spacing w:before="0" w:after="60"/>
      </w:pPr>
    </w:p>
    <w:p>
      <w:pPr>
        <w:pStyle w:val="Heading2"/>
        <w:pStyle w:val="MdHeading2"/>
      </w:pPr>
      <w:r>
        <w:t xml:space="preserve">4. Soluții și Oportunități oferite de AI</w:t>
      </w:r>
    </w:p>
    <w:p>
      <w:pPr>
        <w:pStyle w:val="MdParagraph"/>
      </w:pPr>
      <w:r>
        <w:t xml:space="preserve">Inteligența artificială oferă soluții puternice pentru depășirea barierelor actuale și pentru transformarea administrației publice:</w:t>
      </w:r>
    </w:p>
    <w:p>
      <w:pPr>
        <w:pStyle w:val="MdSpace"/>
        <w:spacing w:before="0" w:after="60"/>
      </w:pPr>
    </w:p>
    <w:p>
      <w:pPr>
        <w:pStyle w:val="MdListItem"/>
        <w:numPr>
          <w:ilvl w:val="0"/>
          <w:numId w:val="2"/>
        </w:numPr>
      </w:pPr>
      <w:r>
        <w:rPr>
          <w:rStyle w:val="MdStrong"/>
          <w:b/>
          <w:bCs/>
        </w:rPr>
        <w:t xml:space="preserve">Automatizarea Proceselor Robotice (RPA):</w:t>
      </w:r>
      <w:r>
        <w:t xml:space="preserve"> Implementarea RPA poate prelua sarcini repetitive și bazate pe reguli, cum ar fi introducerea datelor din documente scanate sau procesarea cererilor standardizate. Aceasta eliberează funcționarii publici de sarcini monotone, permițându-le să se concentreze pe activități cu valoare adăugată mai mare [12].</w:t>
      </w:r>
    </w:p>
    <w:p>
      <w:pPr>
        <w:pStyle w:val="MdListItem"/>
        <w:numPr>
          <w:ilvl w:val="0"/>
          <w:numId w:val="2"/>
        </w:numPr>
      </w:pPr>
      <w:r>
        <w:rPr>
          <w:rStyle w:val="MdStrong"/>
          <w:b/>
          <w:bCs/>
        </w:rPr>
        <w:t xml:space="preserve">Asistenți Virtuali și Chatboți:</w:t>
      </w:r>
      <w:r>
        <w:t xml:space="preserve"> Pentru interacțiunea cu cetățenii, asistenții virtuali bazați pe AI pot oferi suport 24/7, răspunzând la întrebări frecvente, ghidând utilizatorii prin procese administrative și reducând astfel volumul de muncă al personalului din front-office [13].</w:t>
      </w:r>
    </w:p>
    <w:p>
      <w:pPr>
        <w:pStyle w:val="MdListItem"/>
        <w:numPr>
          <w:ilvl w:val="0"/>
          <w:numId w:val="2"/>
        </w:numPr>
      </w:pPr>
      <w:r>
        <w:rPr>
          <w:rStyle w:val="MdStrong"/>
          <w:b/>
          <w:bCs/>
        </w:rPr>
        <w:t xml:space="preserve">Analiza Avansată a Datelor:</w:t>
      </w:r>
      <w:r>
        <w:t xml:space="preserve"> AI poate procesa volume mari de date pentru a identifica tendințe, a anticipa nevoi și a fundamenta deciziile politice pe baza unor dovezi solide, nu pe presupuneri. Aceasta permite o alocare mai eficientă a resurselor și o formulare mai precisă a politicilor publice [14].</w:t>
      </w:r>
    </w:p>
    <w:p>
      <w:pPr>
        <w:pStyle w:val="MdListItem"/>
        <w:numPr>
          <w:ilvl w:val="0"/>
          <w:numId w:val="2"/>
        </w:numPr>
      </w:pPr>
      <w:r>
        <w:rPr>
          <w:rStyle w:val="MdStrong"/>
          <w:b/>
          <w:bCs/>
        </w:rPr>
        <w:t xml:space="preserve">Digitalizarea Arhivelor și Recunoașterea Optică a Caracterelor (OCR):</w:t>
      </w:r>
      <w:r>
        <w:t xml:space="preserve"> Pentru a combate dependența de documentele pe hârtie, tehnologiile OCR, combinate cu AI, pot converti rapid și precis arhivele fizice în baze de date digitale structurate. Aceasta facilitează căutarea, accesul și interoperabilitatea informațiilor [15].</w:t>
      </w:r>
    </w:p>
    <w:p>
      <w:pPr>
        <w:pStyle w:val="MdSpace"/>
        <w:spacing w:before="0" w:after="60"/>
      </w:pPr>
    </w:p>
    <w:p>
      <w:pPr>
        <w:pStyle w:val="Heading2"/>
        <w:pStyle w:val="MdHeading2"/>
      </w:pPr>
      <w:r>
        <w:t xml:space="preserve">Concluzii și Recomandări</w:t>
      </w:r>
    </w:p>
    <w:p>
      <w:pPr>
        <w:pStyle w:val="MdParagraph"/>
      </w:pPr>
      <w:r>
        <w:t xml:space="preserve">Transformarea digitală și integrarea AI în administrația publică din România sunt imperative pentru a construi un stat modern, eficient și transparent. Deși provocările sunt semnificative, inițiativele curente și potențialul AI oferă o cale clară spre progres. Pentru a accelera acest proces, se recomandă:</w:t>
      </w:r>
    </w:p>
    <w:p>
      <w:pPr>
        <w:pStyle w:val="MdSpace"/>
        <w:spacing w:before="0" w:after="60"/>
      </w:pPr>
    </w:p>
    <w:p>
      <w:pPr>
        <w:pStyle w:val="MdListItem"/>
        <w:numPr>
          <w:ilvl w:val="0"/>
          <w:numId w:val="3"/>
        </w:numPr>
      </w:pPr>
      <w:r>
        <w:rPr>
          <w:rStyle w:val="MdStrong"/>
          <w:b/>
          <w:bCs/>
        </w:rPr>
        <w:t xml:space="preserve">Investiții Susținute în Infrastructura Digitală:</w:t>
      </w:r>
      <w:r>
        <w:t xml:space="preserve"> Finalizarea și operaționalizarea Cloud-ului Guvernamental și asigurarea unei conectivități de înaltă performanță sunt esențiale.</w:t>
      </w:r>
    </w:p>
    <w:p>
      <w:pPr>
        <w:pStyle w:val="MdListItem"/>
        <w:numPr>
          <w:ilvl w:val="0"/>
          <w:numId w:val="3"/>
        </w:numPr>
      </w:pPr>
      <w:r>
        <w:rPr>
          <w:rStyle w:val="MdStrong"/>
          <w:b/>
          <w:bCs/>
        </w:rPr>
        <w:t xml:space="preserve">Dezvoltarea Competențelor Digitale:</w:t>
      </w:r>
      <w:r>
        <w:t xml:space="preserve"> Programe ample de formare și recalificare pentru funcționarii publici, adaptate nevoilor specifice ale fiecărei instituții.</w:t>
      </w:r>
    </w:p>
    <w:p>
      <w:pPr>
        <w:pStyle w:val="MdListItem"/>
        <w:numPr>
          <w:ilvl w:val="0"/>
          <w:numId w:val="3"/>
        </w:numPr>
      </w:pPr>
      <w:r>
        <w:rPr>
          <w:rStyle w:val="MdStrong"/>
          <w:b/>
          <w:bCs/>
        </w:rPr>
        <w:t xml:space="preserve">Cadrul Legislativ și Etic:</w:t>
      </w:r>
      <w:r>
        <w:t xml:space="preserve"> Elaborarea rapidă a unui cadru legislativ și de reglementare clar pentru AI, care să abordeze aspecte etice, de securitate și de protecție a datelor.</w:t>
      </w:r>
    </w:p>
    <w:p>
      <w:pPr>
        <w:pStyle w:val="MdListItem"/>
        <w:numPr>
          <w:ilvl w:val="0"/>
          <w:numId w:val="3"/>
        </w:numPr>
      </w:pPr>
      <w:r>
        <w:rPr>
          <w:rStyle w:val="MdStrong"/>
          <w:b/>
          <w:bCs/>
        </w:rPr>
        <w:t xml:space="preserve">Promovarea Interoperabilității:</w:t>
      </w:r>
      <w:r>
        <w:t xml:space="preserve"> Dezvoltarea de standarde comune și platforme integrate pentru a asigura schimbul fluid de date între instituții.</w:t>
      </w:r>
    </w:p>
    <w:p>
      <w:pPr>
        <w:pStyle w:val="MdListItem"/>
        <w:numPr>
          <w:ilvl w:val="0"/>
          <w:numId w:val="3"/>
        </w:numPr>
      </w:pPr>
      <w:r>
        <w:rPr>
          <w:rStyle w:val="MdStrong"/>
          <w:b/>
          <w:bCs/>
        </w:rPr>
        <w:t xml:space="preserve">Schimbarea Culturii Organizaționale:</w:t>
      </w:r>
      <w:r>
        <w:t xml:space="preserve"> Campanii de conștientizare și programe de management al schimbării pentru a depăși rezistența la digitalizare și a promova o cultură orientată spre inovație și eficiență.</w:t>
      </w:r>
    </w:p>
    <w:p>
      <w:pPr>
        <w:pStyle w:val="MdListItem"/>
        <w:numPr>
          <w:ilvl w:val="0"/>
          <w:numId w:val="3"/>
        </w:numPr>
      </w:pPr>
      <w:r>
        <w:rPr>
          <w:rStyle w:val="MdStrong"/>
          <w:b/>
          <w:bCs/>
        </w:rPr>
        <w:t xml:space="preserve">Proiecte Pilot AI:</w:t>
      </w:r>
      <w:r>
        <w:t xml:space="preserve"> Implementarea de proiecte pilot cu soluții AI în domenii cheie, pentru a demonstra beneficiile concrete și a construi încrederea în aceste tehnologii.</w:t>
      </w:r>
    </w:p>
    <w:p>
      <w:pPr>
        <w:pStyle w:val="MdSpace"/>
        <w:spacing w:before="0" w:after="60"/>
      </w:pPr>
    </w:p>
    <w:p>
      <w:pPr>
        <w:pStyle w:val="MdParagraph"/>
      </w:pPr>
      <w:r>
        <w:t xml:space="preserve">Prin abordarea strategică și coordonată a acestor aspecte, România poate valorifica pe deplin potențialul digitalizării și al inteligenței artificiale pentru a oferi servicii publice de calitate superioară și a construi o administrație publică adaptată cerințelor secolului XXI.</w:t>
      </w:r>
    </w:p>
    <w:p>
      <w:pPr>
        <w:pStyle w:val="MdSpace"/>
        <w:spacing w:before="0" w:after="60"/>
      </w:pPr>
    </w:p>
    <w:p>
      <w:pPr>
        <w:pStyle w:val="Heading2"/>
        <w:pStyle w:val="MdHeading2"/>
      </w:pPr>
      <w:r>
        <w:t xml:space="preserve">Referințe</w:t>
      </w:r>
    </w:p>
    <w:p>
      <w:pPr>
        <w:pStyle w:val="MdParagraph"/>
      </w:pPr>
      <w:r>
        <w:t xml:space="preserve">[1] România 2025 Raportul de țară privind deceniul digital. </w:t>
      </w:r>
      <w:hyperlink w:history="1" r:id="rIdnxtjbu5ndtnxg6ruc55d4">
        <w:r>
          <w:rPr>
            <w:rStyle w:val="MdLink"/>
          </w:rPr>
          <w:t xml:space="preserve">https://digital-strategy.ec.europa.eu/ro/factpages/romania-2025-digital-decade-country-report</w:t>
        </w:r>
      </w:hyperlink>
      <w:r>
        <w:t xml:space="preserve">
[2] Romania 2024 Digital Decade Country Report. </w:t>
      </w:r>
      <w:hyperlink w:history="1" r:id="rIdfx3dapbhxuhrophbhaoc2">
        <w:r>
          <w:rPr>
            <w:rStyle w:val="MdLink"/>
          </w:rPr>
          <w:t xml:space="preserve">https://digital-strategy.ec.europa.eu/en/factpages/romania-2024-digital-decade-country-report</w:t>
        </w:r>
      </w:hyperlink>
      <w:r>
        <w:t xml:space="preserve">
[3] PRIORITĂȚI 2025 pentru ROMANIA DIGITALĂ: Unde suntem și ce trebuie făcut în sectorul public. </w:t>
      </w:r>
      <w:hyperlink w:history="1" r:id="rIdb6czuwx6lpu1xxvnhple7">
        <w:r>
          <w:rPr>
            <w:rStyle w:val="MdLink"/>
          </w:rPr>
          <w:t xml:space="preserve">https://connections.tech/ro/prioritati-2025-pentru-romania-digitala-unde-ne-aflam-si-ce-trebuie-facut-in-sectorul-public/</w:t>
        </w:r>
      </w:hyperlink>
      <w:r>
        <w:t xml:space="preserve">
[4] Strategia Națională în Domeniul Inteligenței Artificiale 2024-2027. </w:t>
      </w:r>
      <w:hyperlink w:history="1" r:id="rIddwtclsbovbs9jbev6yqn6">
        <w:r>
          <w:rPr>
            <w:rStyle w:val="MdLink"/>
          </w:rPr>
          <w:t xml:space="preserve">https://www.research.gov.ro/programe-nationale/strategia-nationala-in-domeniul-inteligenței-artificiale-2024-2027/</w:t>
        </w:r>
      </w:hyperlink>
      <w:r>
        <w:t xml:space="preserve">
[5] Cum poate România să câștige 1 miliard de euro anual. </w:t>
      </w:r>
      <w:hyperlink w:history="1" r:id="rIdlqmsag8ijnfw3jksnpkap">
        <w:r>
          <w:rPr>
            <w:rStyle w:val="MdLink"/>
          </w:rPr>
          <w:t xml:space="preserve">https://www.economica.net/cum-poate-romania-sa-castige-1-miliard-de-euro-anual-genai-in-sectorul-public_876885.html</w:t>
        </w:r>
      </w:hyperlink>
      <w:r>
        <w:t xml:space="preserve">
[6] BARIERE ÎN DIGITALIZAREA ADMINISTRAȚIEI PUBLICE. </w:t>
      </w:r>
      <w:hyperlink w:history="1" r:id="rId5vijuqeuo7xtpkibujlh6">
        <w:r>
          <w:rPr>
            <w:rStyle w:val="MdLink"/>
          </w:rPr>
          <w:t xml:space="preserve">https://scrd.eu/index.php/spr/article/view/532</w:t>
        </w:r>
      </w:hyperlink>
      <w:r>
        <w:t xml:space="preserve">
[7] EVOLUȚII RECENTE ALE DIGITALIZĂRII ȘI E-GUVERNANȚEI ÎN ROMÂNIA. </w:t>
      </w:r>
      <w:hyperlink w:history="1" r:id="rIdyjmp31xwe0rdtrwtzgmo8">
        <w:r>
          <w:rPr>
            <w:rStyle w:val="MdLink"/>
          </w:rPr>
          <w:t xml:space="preserve">https://www.scrd.eu/index.php/spr/article/download/772/835</w:t>
        </w:r>
      </w:hyperlink>
      <w:r>
        <w:t xml:space="preserve">
[8] Digital Government Review of Romania. </w:t>
      </w:r>
      <w:hyperlink w:history="1" r:id="rId69xp4x8izbzqziigk9hhc">
        <w:r>
          <w:rPr>
            <w:rStyle w:val="MdLink"/>
          </w:rPr>
          <w:t xml:space="preserve">https://www.oecd.org/content/dam/oecd/en/publications/reports/2023/12/digital-government-review-of-romania_4dee897c/68361e0d-en.pdf</w:t>
        </w:r>
      </w:hyperlink>
      <w:r>
        <w:t xml:space="preserve">
[9] Strategia naţională în domeniul inteligenței artificiale 2024. </w:t>
      </w:r>
      <w:hyperlink w:history="1" r:id="rIdvotvnsfsfu1dv76abytwp">
        <w:r>
          <w:rPr>
            <w:rStyle w:val="MdLink"/>
          </w:rPr>
          <w:t xml:space="preserve">http://sgglegis.gov.ro/legislativ/docs/2024/02/gkvfmpbcr94t7s5hzj2y.pdf</w:t>
        </w:r>
      </w:hyperlink>
      <w:r>
        <w:t xml:space="preserve">
[10] Ordonanţa de urgenţă nr. 56/2024 privind aprobarea Programului naţional pentru transformarea digitală a autorităţilor publice locale. </w:t>
      </w:r>
      <w:hyperlink w:history="1" r:id="rId8lxj8xpdmoj3tiznsqz_p">
        <w:r>
          <w:rPr>
            <w:rStyle w:val="MdLink"/>
          </w:rPr>
          <w:t xml:space="preserve">https://lege5.ro/gratuit/ge2temzuge2te/ordonanta-de-urgenta-nr-56-2024-privind-aprobarea-programului-national-pentru-transformarea-digitala-a-autoritatilor-publice-loca</w:t>
        </w:r>
      </w:hyperlink>
      <w:r>
        <w:t xml:space="preserve">
[11] STRATEGIA PENTRU GUVERNARE DESCHISĂ ÎN ROMÂNIA 2025. </w:t>
      </w:r>
      <w:hyperlink w:history="1" r:id="rIdnfall6ee0iwqzajry_yx2">
        <w:r>
          <w:rPr>
            <w:rStyle w:val="MdLink"/>
          </w:rPr>
          <w:t xml:space="preserve">https://sgg.gov.ro/1/wp-content/uploads/2024/11/Anexa-1_Strategia-pentru-Guvernare-Deschisa.pdf</w:t>
        </w:r>
      </w:hyperlink>
      <w:r>
        <w:t xml:space="preserve">
[12] The transformative potential of AI in Romania's public sector. </w:t>
      </w:r>
      <w:hyperlink w:history="1" r:id="rIdcm9wwsg42uxnlc3hxwxmv">
        <w:r>
          <w:rPr>
            <w:rStyle w:val="MdLink"/>
          </w:rPr>
          <w:t xml:space="preserve">https://www.mckinsey.com/industries/public-sector/our-insights/the-transformative-potential-of-ai-in-romanias-public-sector</w:t>
        </w:r>
      </w:hyperlink>
      <w:r>
        <w:t xml:space="preserve">
[13] Digital tools in enhancing public services delivery. </w:t>
      </w:r>
      <w:hyperlink w:history="1" r:id="rIdalv4zm9jdx6pr2c1i0fh_">
        <w:r>
          <w:rPr>
            <w:rStyle w:val="MdLink"/>
          </w:rPr>
          <w:t xml:space="preserve">https://management.ase.ro/wp-content/uploads/2024/09/MSWP_2024_L_07_Gavrila-Maria-Ruxandra_R.pdf</w:t>
        </w:r>
      </w:hyperlink>
      <w:r>
        <w:t xml:space="preserve">
[14] INOVAREA DIGITALĂ ÎN SISTEMUL PUBLIC EUROPEAN. </w:t>
      </w:r>
      <w:hyperlink w:history="1" r:id="rIdh3-80uteotgpjpiburoyl">
        <w:r>
          <w:rPr>
            <w:rStyle w:val="MdLink"/>
          </w:rPr>
          <w:t xml:space="preserve">https://ina.gov.ro/wp-content/uploads/2024/01/Inovarea-digitala-in-sistemul-public-european.pdf</w:t>
        </w:r>
      </w:hyperlink>
      <w:r>
        <w:t xml:space="preserve">
[15] Studiu LIFE IS HARD: Blocaje 2023 şi trenduri 2024 în digitalizarea IMM-urilor din Romania. </w:t>
      </w:r>
      <w:hyperlink w:history="1" r:id="rIdpfrsqru0zdvcl1abpim4z">
        <w:r>
          <w:rPr>
            <w:rStyle w:val="MdLink"/>
          </w:rPr>
          <w:t xml:space="preserve">https://www.mediafax.ro/economic/studiu-life-is-hard-blocaje-2023-si-trenduri-2024-in-digitalizarea-imm-urilor-din-romania-22233737</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nxtjbu5ndtnxg6ruc55d4" Type="http://schemas.openxmlformats.org/officeDocument/2006/relationships/hyperlink" Target="https://digital-strategy.ec.europa.eu/ro/factpages/romania-2025-digital-decade-country-report" TargetMode="External"/><Relationship Id="rIdfx3dapbhxuhrophbhaoc2" Type="http://schemas.openxmlformats.org/officeDocument/2006/relationships/hyperlink" Target="https://digital-strategy.ec.europa.eu/en/factpages/romania-2024-digital-decade-country-report" TargetMode="External"/><Relationship Id="rIdb6czuwx6lpu1xxvnhple7" Type="http://schemas.openxmlformats.org/officeDocument/2006/relationships/hyperlink" Target="https://connections.tech/ro/prioritati-2025-pentru-romania-digitala-unde-ne-aflam-si-ce-trebuie-facut-in-sectorul-public/" TargetMode="External"/><Relationship Id="rIddwtclsbovbs9jbev6yqn6" Type="http://schemas.openxmlformats.org/officeDocument/2006/relationships/hyperlink" Target="https://www.research.gov.ro/programe-nationale/strategia-nationala-in-domeniul-inteligen&#539;ei-artificiale-2024-2027/" TargetMode="External"/><Relationship Id="rIdlqmsag8ijnfw3jksnpkap" Type="http://schemas.openxmlformats.org/officeDocument/2006/relationships/hyperlink" Target="https://www.economica.net/cum-poate-romania-sa-castige-1-miliard-de-euro-anual-genai-in-sectorul-public_876885.html" TargetMode="External"/><Relationship Id="rId5vijuqeuo7xtpkibujlh6" Type="http://schemas.openxmlformats.org/officeDocument/2006/relationships/hyperlink" Target="https://scrd.eu/index.php/spr/article/view/532" TargetMode="External"/><Relationship Id="rIdyjmp31xwe0rdtrwtzgmo8" Type="http://schemas.openxmlformats.org/officeDocument/2006/relationships/hyperlink" Target="https://www.scrd.eu/index.php/spr/article/download/772/835" TargetMode="External"/><Relationship Id="rId69xp4x8izbzqziigk9hhc" Type="http://schemas.openxmlformats.org/officeDocument/2006/relationships/hyperlink" Target="https://www.oecd.org/content/dam/oecd/en/publications/reports/2023/12/digital-government-review-of-romania_4dee897c/68361e0d-en.pdf" TargetMode="External"/><Relationship Id="rIdvotvnsfsfu1dv76abytwp" Type="http://schemas.openxmlformats.org/officeDocument/2006/relationships/hyperlink" Target="http://sgglegis.gov.ro/legislativ/docs/2024/02/gkvfmpbcr94t7s5hzj2y.pdf" TargetMode="External"/><Relationship Id="rId8lxj8xpdmoj3tiznsqz_p" Type="http://schemas.openxmlformats.org/officeDocument/2006/relationships/hyperlink" Target="https://lege5.ro/gratuit/ge2temzuge2te/ordonanta-de-urgenta-nr-56-2024-privind-aprobarea-programului-national-pentru-transformarea-digitala-a-autoritatilor-publice-loca" TargetMode="External"/><Relationship Id="rIdnfall6ee0iwqzajry_yx2" Type="http://schemas.openxmlformats.org/officeDocument/2006/relationships/hyperlink" Target="https://sgg.gov.ro/1/wp-content/uploads/2024/11/Anexa-1_Strategia-pentru-Guvernare-Deschisa.pdf" TargetMode="External"/><Relationship Id="rIdcm9wwsg42uxnlc3hxwxmv" Type="http://schemas.openxmlformats.org/officeDocument/2006/relationships/hyperlink" Target="https://www.mckinsey.com/industries/public-sector/our-insights/the-transformative-potential-of-ai-in-romanias-public-sector" TargetMode="External"/><Relationship Id="rIdalv4zm9jdx6pr2c1i0fh_" Type="http://schemas.openxmlformats.org/officeDocument/2006/relationships/hyperlink" Target="https://management.ase.ro/wp-content/uploads/2024/09/MSWP_2024_L_07_Gavrila-Maria-Ruxandra_R.pdf" TargetMode="External"/><Relationship Id="rIdh3-80uteotgpjpiburoyl" Type="http://schemas.openxmlformats.org/officeDocument/2006/relationships/hyperlink" Target="https://ina.gov.ro/wp-content/uploads/2024/01/Inovarea-digitala-in-sistemul-public-european.pdf" TargetMode="External"/><Relationship Id="rIdpfrsqru0zdvcl1abpim4z" Type="http://schemas.openxmlformats.org/officeDocument/2006/relationships/hyperlink" Target="https://www.mediafax.ro/economic/studiu-life-is-hard-blocaje-2023-si-trenduri-2024-in-digitalizarea-imm-urilor-din-romania-22233737" TargetMode="External"/><Relationship Id="rId2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2026-03-02T06:23:29.649Z</dcterms:created>
  <dcterms:modified xsi:type="dcterms:W3CDTF">2026-03-02T06:23:29.649Z</dcterms:modified>
</cp:coreProperties>
</file>

<file path=docProps/custom.xml><?xml version="1.0" encoding="utf-8"?>
<Properties xmlns="http://schemas.openxmlformats.org/officeDocument/2006/custom-properties" xmlns:vt="http://schemas.openxmlformats.org/officeDocument/2006/docPropsVTypes"/>
</file>