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0"/>
        </w:rPr>
        <w:t xml:space="preserve">S8_Odor Control: Formulae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Amount of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 (lbs/d) in wastewater=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 conc . 8.34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Influent flow to Aeration Basin (MGD) = Primary Effluent Flow – Diverted Flow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conc :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concentration (mg/L) in Aeration Basin influent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 chemicals with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oxidation ability Densities as follows: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8"/>
        <w:gridCol w:w="2977"/>
        <w:gridCol w:w="1984"/>
        <w:tblGridChange w:id="0">
          <w:tblGrid>
            <w:gridCol w:w="3528"/>
            <w:gridCol w:w="2977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Chemical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xidation ability</w:t>
            </w:r>
            <w:r w:rsidDel="00000000" w:rsidR="00000000" w:rsidRPr="00000000">
              <w:rPr>
                <w:b w:val="1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lbs of chemical reqd</w:t>
            </w:r>
            <w:r w:rsidDel="00000000" w:rsidR="00000000" w:rsidRPr="00000000">
              <w:rPr>
                <w:b w:val="1"/>
                <w:rtl w:val="0"/>
              </w:rPr>
              <w:t xml:space="preserve"> 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lb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Density (lbs/gal)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Hydrogen Peroxide (H2O2)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50% purity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Potassium Permanganate (KMnO4), 97% purity, neutral pH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Potassium Permanganate (KMnO4), 97% purity, neutral pH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13.0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22.13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Dosage required (lbs/d)=Amount of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 (lbs/d) . 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 ox ability (lbs/lb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Dosage required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GPD or gal/d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Dosage required (lbs/d)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Density (lbs/gal)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Dosage required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GPM or gal/min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Dosage required (GPD or gal/d)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Minutes of operation per hour of dosing pump .  24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Dosage required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mL/min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Dosage required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GPM or gal/min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3785.41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74A5A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74A5A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6B173E"/>
    <w:rPr>
      <w:color w:val="808080"/>
    </w:rPr>
  </w:style>
  <w:style w:type="table" w:styleId="TableGrid">
    <w:name w:val="Table Grid"/>
    <w:basedOn w:val="TableNormal"/>
    <w:uiPriority w:val="39"/>
    <w:rsid w:val="0049430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F6pkh4kykWPrAYHJHq60BNFURA==">AMUW2mUKhf8pqN/DKSvn6ePOlAE6na7Z/CZ/HWHfDo3E/UkHuxmPvgyWndoVPWIMIRchJYZvUUiX1sMOSpZYV7hUW/USXe7M17/5bVe9mt86ZhnizSBmUXc=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2022-05-24T11:43:00Z</dcterms:created>
  <dc:creator>Vikram Raju</dc:creator>
</cp:coreProperties>
</file>