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Grease Analysis - Mixed Liquor</w:t>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2"/>
        </w:numPr>
        <w:ind w:left="720" w:hanging="360"/>
        <w:rPr>
          <w:color w:val="222222"/>
        </w:rPr>
      </w:pPr>
      <w:r w:rsidDel="00000000" w:rsidR="00000000" w:rsidRPr="00000000">
        <w:rPr>
          <w:b w:val="1"/>
          <w:color w:val="222222"/>
          <w:sz w:val="26"/>
          <w:szCs w:val="26"/>
          <w:rtl w:val="0"/>
        </w:rPr>
        <w:t xml:space="preserve">Why is Grease Analysis important?</w:t>
      </w:r>
      <w:r w:rsidDel="00000000" w:rsidR="00000000" w:rsidRPr="00000000">
        <w:rPr>
          <w:rtl w:val="0"/>
        </w:rPr>
      </w:r>
    </w:p>
    <w:p w:rsidR="00000000" w:rsidDel="00000000" w:rsidP="00000000" w:rsidRDefault="00000000" w:rsidRPr="00000000" w14:paraId="00000005">
      <w:pPr>
        <w:spacing w:line="240" w:lineRule="auto"/>
        <w:ind w:left="720" w:firstLine="0"/>
        <w:rPr/>
      </w:pPr>
      <w:r w:rsidDel="00000000" w:rsidR="00000000" w:rsidRPr="00000000">
        <w:rPr>
          <w:rtl w:val="0"/>
        </w:rPr>
        <w:t xml:space="preserve">Grease Analysis is essential to ascertain more closely, the amount of Fats, Oil, Grease (FOGs), waxes and other related compounds in the pollutant loading. </w:t>
      </w:r>
    </w:p>
    <w:p w:rsidR="00000000" w:rsidDel="00000000" w:rsidP="00000000" w:rsidRDefault="00000000" w:rsidRPr="00000000" w14:paraId="00000006">
      <w:pPr>
        <w:numPr>
          <w:ilvl w:val="0"/>
          <w:numId w:val="3"/>
        </w:numPr>
        <w:spacing w:line="240" w:lineRule="auto"/>
        <w:ind w:left="1440" w:hanging="360"/>
        <w:rPr>
          <w:u w:val="none"/>
        </w:rPr>
      </w:pPr>
      <w:r w:rsidDel="00000000" w:rsidR="00000000" w:rsidRPr="00000000">
        <w:rPr>
          <w:rtl w:val="0"/>
        </w:rPr>
        <w:t xml:space="preserve">Filamentous organisms like </w:t>
      </w:r>
      <w:r w:rsidDel="00000000" w:rsidR="00000000" w:rsidRPr="00000000">
        <w:rPr>
          <w:i w:val="1"/>
          <w:rtl w:val="0"/>
        </w:rPr>
        <w:t xml:space="preserve">Nocardia</w:t>
      </w:r>
      <w:r w:rsidDel="00000000" w:rsidR="00000000" w:rsidRPr="00000000">
        <w:rPr>
          <w:rtl w:val="0"/>
        </w:rPr>
        <w:t xml:space="preserve"> and </w:t>
      </w:r>
      <w:r w:rsidDel="00000000" w:rsidR="00000000" w:rsidRPr="00000000">
        <w:rPr>
          <w:i w:val="1"/>
          <w:rtl w:val="0"/>
        </w:rPr>
        <w:t xml:space="preserve">Microthrix parvicella</w:t>
      </w:r>
      <w:r w:rsidDel="00000000" w:rsidR="00000000" w:rsidRPr="00000000">
        <w:rPr>
          <w:rtl w:val="0"/>
        </w:rPr>
        <w:t xml:space="preserve"> that cause foaming episodes, thrive on FOGs in their diet. </w:t>
      </w:r>
    </w:p>
    <w:p w:rsidR="00000000" w:rsidDel="00000000" w:rsidP="00000000" w:rsidRDefault="00000000" w:rsidRPr="00000000" w14:paraId="00000007">
      <w:pPr>
        <w:numPr>
          <w:ilvl w:val="0"/>
          <w:numId w:val="3"/>
        </w:numPr>
        <w:spacing w:line="240" w:lineRule="auto"/>
        <w:ind w:left="1440" w:hanging="360"/>
        <w:rPr>
          <w:u w:val="none"/>
        </w:rPr>
      </w:pPr>
      <w:r w:rsidDel="00000000" w:rsidR="00000000" w:rsidRPr="00000000">
        <w:rPr>
          <w:rtl w:val="0"/>
        </w:rPr>
        <w:t xml:space="preserve">Excess FOGs not removed adequately by pre-treatment operations like oil and grease traps, Dissolved Air Flotation (DAF) units, scum traps in clarifiers, can result in a uniform layer of film floating on the wastewater surface. This can interfere with biological treatment.</w:t>
      </w:r>
    </w:p>
    <w:p w:rsidR="00000000" w:rsidDel="00000000" w:rsidP="00000000" w:rsidRDefault="00000000" w:rsidRPr="00000000" w14:paraId="00000008">
      <w:pPr>
        <w:numPr>
          <w:ilvl w:val="0"/>
          <w:numId w:val="3"/>
        </w:numPr>
        <w:spacing w:line="240" w:lineRule="auto"/>
        <w:ind w:left="1440" w:hanging="360"/>
        <w:rPr>
          <w:u w:val="none"/>
        </w:rPr>
      </w:pPr>
      <w:r w:rsidDel="00000000" w:rsidR="00000000" w:rsidRPr="00000000">
        <w:rPr>
          <w:rtl w:val="0"/>
        </w:rPr>
        <w:t xml:space="preserve">Moreover, FOGs being heavier compounds, may not be easily digested by aerobic bacteria. This results in undigested BOD, which may cause denitrification problems in clarifiers, or ultimately result in violations of permit.</w:t>
      </w:r>
    </w:p>
    <w:p w:rsidR="00000000" w:rsidDel="00000000" w:rsidP="00000000" w:rsidRDefault="00000000" w:rsidRPr="00000000" w14:paraId="00000009">
      <w:pPr>
        <w:spacing w:line="240" w:lineRule="auto"/>
        <w:ind w:left="720" w:firstLine="0"/>
        <w:rPr/>
      </w:pP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b w:val="1"/>
          <w:sz w:val="26"/>
          <w:szCs w:val="26"/>
          <w:rtl w:val="0"/>
        </w:rPr>
        <w:t xml:space="preserve">What are measurement units of Fats, Oil, Grease (FOGs)?</w:t>
      </w:r>
    </w:p>
    <w:p w:rsidR="00000000" w:rsidDel="00000000" w:rsidP="00000000" w:rsidRDefault="00000000" w:rsidRPr="00000000" w14:paraId="0000000B">
      <w:pPr>
        <w:spacing w:line="240" w:lineRule="auto"/>
        <w:ind w:left="720" w:firstLine="0"/>
        <w:rPr/>
      </w:pPr>
      <w:r w:rsidDel="00000000" w:rsidR="00000000" w:rsidRPr="00000000">
        <w:rPr>
          <w:rtl w:val="0"/>
        </w:rPr>
        <w:t xml:space="preserve">FOGs are measured in mg/L or ppm</w:t>
      </w: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numPr>
          <w:ilvl w:val="0"/>
          <w:numId w:val="2"/>
        </w:numPr>
        <w:ind w:left="720" w:hanging="360"/>
      </w:pPr>
      <w:r w:rsidDel="00000000" w:rsidR="00000000" w:rsidRPr="00000000">
        <w:rPr>
          <w:b w:val="1"/>
          <w:sz w:val="26"/>
          <w:szCs w:val="26"/>
          <w:rtl w:val="0"/>
        </w:rPr>
        <w:t xml:space="preserve">What is an ideal range of FOGs?</w:t>
      </w:r>
    </w:p>
    <w:p w:rsidR="00000000" w:rsidDel="00000000" w:rsidP="00000000" w:rsidRDefault="00000000" w:rsidRPr="00000000" w14:paraId="0000000E">
      <w:pPr>
        <w:spacing w:line="240" w:lineRule="auto"/>
        <w:ind w:left="720" w:firstLine="0"/>
        <w:rPr/>
      </w:pPr>
      <w:r w:rsidDel="00000000" w:rsidR="00000000" w:rsidRPr="00000000">
        <w:rPr>
          <w:rtl w:val="0"/>
        </w:rPr>
        <w:t xml:space="preserve">Ideally, FOGs concentration should be kept to less than 25 mg/L</w:t>
      </w:r>
    </w:p>
    <w:p w:rsidR="00000000" w:rsidDel="00000000" w:rsidP="00000000" w:rsidRDefault="00000000" w:rsidRPr="00000000" w14:paraId="0000000F">
      <w:pPr>
        <w:spacing w:line="240" w:lineRule="auto"/>
        <w:ind w:left="720" w:firstLine="0"/>
        <w:rPr/>
      </w:pPr>
      <w:r w:rsidDel="00000000" w:rsidR="00000000" w:rsidRPr="00000000">
        <w:rPr>
          <w:rtl w:val="0"/>
        </w:rPr>
      </w:r>
    </w:p>
    <w:p w:rsidR="00000000" w:rsidDel="00000000" w:rsidP="00000000" w:rsidRDefault="00000000" w:rsidRPr="00000000" w14:paraId="00000010">
      <w:pPr>
        <w:numPr>
          <w:ilvl w:val="0"/>
          <w:numId w:val="2"/>
        </w:numPr>
        <w:spacing w:line="240" w:lineRule="auto"/>
        <w:ind w:left="720" w:hanging="360"/>
      </w:pPr>
      <w:r w:rsidDel="00000000" w:rsidR="00000000" w:rsidRPr="00000000">
        <w:rPr>
          <w:b w:val="1"/>
          <w:sz w:val="26"/>
          <w:szCs w:val="26"/>
          <w:rtl w:val="0"/>
        </w:rPr>
        <w:t xml:space="preserve">How do you do Grease Analysis in the lab?</w:t>
      </w:r>
    </w:p>
    <w:p w:rsidR="00000000" w:rsidDel="00000000" w:rsidP="00000000" w:rsidRDefault="00000000" w:rsidRPr="00000000" w14:paraId="00000011">
      <w:pPr>
        <w:spacing w:line="240" w:lineRule="auto"/>
        <w:ind w:left="720" w:firstLine="0"/>
        <w:rPr>
          <w:highlight w:val="white"/>
        </w:rPr>
      </w:pPr>
      <w:r w:rsidDel="00000000" w:rsidR="00000000" w:rsidRPr="00000000">
        <w:rPr>
          <w:rtl w:val="0"/>
        </w:rPr>
        <w:t xml:space="preserve">Analysis of FOGs is done using the test for </w:t>
      </w:r>
      <w:r w:rsidDel="00000000" w:rsidR="00000000" w:rsidRPr="00000000">
        <w:rPr>
          <w:highlight w:val="white"/>
          <w:rtl w:val="0"/>
        </w:rPr>
        <w:t xml:space="preserve">HEM (Hexane Extractable Material), which is the broader term, beyond FOGs. A brief summary of the lab analysis is provided below. For details, </w:t>
      </w:r>
      <w:r w:rsidDel="00000000" w:rsidR="00000000" w:rsidRPr="00000000">
        <w:rPr>
          <w:color w:val="0000ff"/>
          <w:highlight w:val="white"/>
          <w:u w:val="single"/>
          <w:rtl w:val="0"/>
        </w:rPr>
        <w:t xml:space="preserve">refer to </w:t>
      </w:r>
      <w:r w:rsidDel="00000000" w:rsidR="00000000" w:rsidRPr="00000000">
        <w:rPr>
          <w:color w:val="0000ff"/>
          <w:sz w:val="21"/>
          <w:szCs w:val="21"/>
          <w:highlight w:val="white"/>
          <w:u w:val="single"/>
          <w:rtl w:val="0"/>
        </w:rPr>
        <w:t xml:space="preserve">EPA Method 1664 or SM5520 B/F.</w:t>
      </w:r>
      <w:r w:rsidDel="00000000" w:rsidR="00000000" w:rsidRPr="00000000">
        <w:rPr>
          <w:rtl w:val="0"/>
        </w:rPr>
      </w:r>
    </w:p>
    <w:p w:rsidR="00000000" w:rsidDel="00000000" w:rsidP="00000000" w:rsidRDefault="00000000" w:rsidRPr="00000000" w14:paraId="00000012">
      <w:pPr>
        <w:spacing w:line="240" w:lineRule="auto"/>
        <w:ind w:left="720" w:firstLine="0"/>
        <w:rPr>
          <w:highlight w:val="white"/>
        </w:rPr>
      </w:pPr>
      <w:r w:rsidDel="00000000" w:rsidR="00000000" w:rsidRPr="00000000">
        <w:rPr>
          <w:rtl w:val="0"/>
        </w:rPr>
      </w:r>
    </w:p>
    <w:p w:rsidR="00000000" w:rsidDel="00000000" w:rsidP="00000000" w:rsidRDefault="00000000" w:rsidRPr="00000000" w14:paraId="00000013">
      <w:pPr>
        <w:ind w:left="720" w:firstLine="0"/>
        <w:rPr>
          <w:color w:val="222222"/>
        </w:rPr>
      </w:pPr>
      <w:r w:rsidDel="00000000" w:rsidR="00000000" w:rsidRPr="00000000">
        <w:rPr>
          <w:color w:val="222222"/>
          <w:rtl w:val="0"/>
        </w:rPr>
        <w:t xml:space="preserve">Monitoring locations:</w:t>
      </w:r>
    </w:p>
    <w:p w:rsidR="00000000" w:rsidDel="00000000" w:rsidP="00000000" w:rsidRDefault="00000000" w:rsidRPr="00000000" w14:paraId="00000014">
      <w:pPr>
        <w:numPr>
          <w:ilvl w:val="0"/>
          <w:numId w:val="4"/>
        </w:numPr>
        <w:spacing w:line="240" w:lineRule="auto"/>
        <w:ind w:left="1440" w:hanging="360"/>
      </w:pPr>
      <w:r w:rsidDel="00000000" w:rsidR="00000000" w:rsidRPr="00000000">
        <w:rPr>
          <w:color w:val="222222"/>
          <w:rtl w:val="0"/>
        </w:rPr>
        <w:t xml:space="preserve">Aeration Basin influent end, after mixing of RAS and Primary effluent. Obtain well mixed samples of 1-2 Liters.</w:t>
      </w:r>
      <w:r w:rsidDel="00000000" w:rsidR="00000000" w:rsidRPr="00000000">
        <w:rPr>
          <w:rtl w:val="0"/>
        </w:rPr>
      </w:r>
    </w:p>
    <w:p w:rsidR="00000000" w:rsidDel="00000000" w:rsidP="00000000" w:rsidRDefault="00000000" w:rsidRPr="00000000" w14:paraId="00000015">
      <w:pPr>
        <w:spacing w:line="240" w:lineRule="auto"/>
        <w:ind w:left="720" w:firstLine="0"/>
        <w:rPr>
          <w:highlight w:val="white"/>
        </w:rPr>
      </w:pPr>
      <w:r w:rsidDel="00000000" w:rsidR="00000000" w:rsidRPr="00000000">
        <w:rPr>
          <w:rtl w:val="0"/>
        </w:rPr>
      </w:r>
    </w:p>
    <w:p w:rsidR="00000000" w:rsidDel="00000000" w:rsidP="00000000" w:rsidRDefault="00000000" w:rsidRPr="00000000" w14:paraId="00000016">
      <w:pPr>
        <w:spacing w:line="240" w:lineRule="auto"/>
        <w:ind w:left="720" w:firstLine="0"/>
        <w:rPr/>
      </w:pPr>
      <w:r w:rsidDel="00000000" w:rsidR="00000000" w:rsidRPr="00000000">
        <w:rPr>
          <w:b w:val="1"/>
          <w:rtl w:val="0"/>
        </w:rPr>
        <w:t xml:space="preserve">Method 1664</w:t>
      </w:r>
      <w:r w:rsidDel="00000000" w:rsidR="00000000" w:rsidRPr="00000000">
        <w:rPr>
          <w:rtl w:val="0"/>
        </w:rPr>
        <w:t xml:space="preserve"> specifically deals with a liquid-liquid extraction procedure. </w:t>
      </w:r>
    </w:p>
    <w:p w:rsidR="00000000" w:rsidDel="00000000" w:rsidP="00000000" w:rsidRDefault="00000000" w:rsidRPr="00000000" w14:paraId="00000017">
      <w:pPr>
        <w:numPr>
          <w:ilvl w:val="0"/>
          <w:numId w:val="1"/>
        </w:numPr>
        <w:spacing w:line="240" w:lineRule="auto"/>
        <w:ind w:left="1440" w:hanging="360"/>
        <w:rPr>
          <w:u w:val="none"/>
        </w:rPr>
      </w:pPr>
      <w:r w:rsidDel="00000000" w:rsidR="00000000" w:rsidRPr="00000000">
        <w:rPr>
          <w:rtl w:val="0"/>
        </w:rPr>
        <w:t xml:space="preserve">Obtain a well mixed wastewater sample of 1-2 L from the influent end of the Aeration Basin.</w:t>
      </w:r>
    </w:p>
    <w:p w:rsidR="00000000" w:rsidDel="00000000" w:rsidP="00000000" w:rsidRDefault="00000000" w:rsidRPr="00000000" w14:paraId="00000018">
      <w:pPr>
        <w:numPr>
          <w:ilvl w:val="0"/>
          <w:numId w:val="1"/>
        </w:numPr>
        <w:spacing w:line="240" w:lineRule="auto"/>
        <w:ind w:left="1440" w:hanging="360"/>
        <w:rPr>
          <w:u w:val="none"/>
        </w:rPr>
      </w:pPr>
      <w:r w:rsidDel="00000000" w:rsidR="00000000" w:rsidRPr="00000000">
        <w:rPr>
          <w:rtl w:val="0"/>
        </w:rPr>
        <w:t xml:space="preserve">Transfer your sample into large separatory funnels and add 30 mL of hexane.</w:t>
      </w:r>
    </w:p>
    <w:p w:rsidR="00000000" w:rsidDel="00000000" w:rsidP="00000000" w:rsidRDefault="00000000" w:rsidRPr="00000000" w14:paraId="00000019">
      <w:pPr>
        <w:numPr>
          <w:ilvl w:val="0"/>
          <w:numId w:val="1"/>
        </w:numPr>
        <w:spacing w:line="240" w:lineRule="auto"/>
        <w:ind w:left="1440" w:hanging="360"/>
        <w:rPr>
          <w:u w:val="none"/>
        </w:rPr>
      </w:pPr>
      <w:r w:rsidDel="00000000" w:rsidR="00000000" w:rsidRPr="00000000">
        <w:rPr>
          <w:rtl w:val="0"/>
        </w:rPr>
        <w:t xml:space="preserve">Agitate the sample and solvent, and allow them to separate. </w:t>
      </w:r>
    </w:p>
    <w:p w:rsidR="00000000" w:rsidDel="00000000" w:rsidP="00000000" w:rsidRDefault="00000000" w:rsidRPr="00000000" w14:paraId="0000001A">
      <w:pPr>
        <w:numPr>
          <w:ilvl w:val="0"/>
          <w:numId w:val="1"/>
        </w:numPr>
        <w:spacing w:line="240" w:lineRule="auto"/>
        <w:ind w:left="1440" w:hanging="360"/>
        <w:rPr>
          <w:u w:val="none"/>
        </w:rPr>
      </w:pPr>
      <w:r w:rsidDel="00000000" w:rsidR="00000000" w:rsidRPr="00000000">
        <w:rPr>
          <w:rtl w:val="0"/>
        </w:rPr>
        <w:t xml:space="preserve">Collect the hexane and repeat the extraction two more times. </w:t>
      </w:r>
    </w:p>
    <w:p w:rsidR="00000000" w:rsidDel="00000000" w:rsidP="00000000" w:rsidRDefault="00000000" w:rsidRPr="00000000" w14:paraId="0000001B">
      <w:pPr>
        <w:numPr>
          <w:ilvl w:val="0"/>
          <w:numId w:val="1"/>
        </w:numPr>
        <w:spacing w:line="240" w:lineRule="auto"/>
        <w:ind w:left="1440" w:hanging="360"/>
        <w:rPr>
          <w:u w:val="none"/>
        </w:rPr>
      </w:pPr>
      <w:r w:rsidDel="00000000" w:rsidR="00000000" w:rsidRPr="00000000">
        <w:rPr>
          <w:rtl w:val="0"/>
        </w:rPr>
        <w:t xml:space="preserve">Because hexane is lighter than water, the entire sample volume must be drained from the funnel, usually back into the sample container, before the hexane can be collected. </w:t>
      </w:r>
    </w:p>
    <w:p w:rsidR="00000000" w:rsidDel="00000000" w:rsidP="00000000" w:rsidRDefault="00000000" w:rsidRPr="00000000" w14:paraId="0000001C">
      <w:pPr>
        <w:numPr>
          <w:ilvl w:val="0"/>
          <w:numId w:val="1"/>
        </w:numPr>
        <w:spacing w:line="240" w:lineRule="auto"/>
        <w:ind w:left="1440" w:hanging="360"/>
        <w:rPr>
          <w:u w:val="none"/>
        </w:rPr>
      </w:pPr>
      <w:r w:rsidDel="00000000" w:rsidR="00000000" w:rsidRPr="00000000">
        <w:rPr>
          <w:rtl w:val="0"/>
        </w:rPr>
        <w:t xml:space="preserve">Carefully vent during the agitation to avoid potentially dangerous buildup of pressure from the fumes. Often during the agitation process an emulsion will form between the organic and aqueous layers. This can cause significant delays in the extraction process. </w:t>
      </w:r>
    </w:p>
    <w:p w:rsidR="00000000" w:rsidDel="00000000" w:rsidP="00000000" w:rsidRDefault="00000000" w:rsidRPr="00000000" w14:paraId="0000001D">
      <w:pPr>
        <w:numPr>
          <w:ilvl w:val="0"/>
          <w:numId w:val="1"/>
        </w:numPr>
        <w:spacing w:line="240" w:lineRule="auto"/>
        <w:ind w:left="1440" w:hanging="360"/>
        <w:rPr>
          <w:u w:val="none"/>
        </w:rPr>
      </w:pPr>
      <w:r w:rsidDel="00000000" w:rsidR="00000000" w:rsidRPr="00000000">
        <w:rPr>
          <w:rtl w:val="0"/>
        </w:rPr>
        <w:t xml:space="preserve">The method does allow alternative extraction methods provided they adhere to the method definition. Solid phase extraction (SPE) is the most widely known and used of these alternatives. </w:t>
      </w:r>
    </w:p>
    <w:p w:rsidR="00000000" w:rsidDel="00000000" w:rsidP="00000000" w:rsidRDefault="00000000" w:rsidRPr="00000000" w14:paraId="0000001E">
      <w:pPr>
        <w:numPr>
          <w:ilvl w:val="0"/>
          <w:numId w:val="1"/>
        </w:numPr>
        <w:spacing w:line="240" w:lineRule="auto"/>
        <w:ind w:left="1440" w:hanging="360"/>
        <w:rPr>
          <w:u w:val="none"/>
        </w:rPr>
      </w:pPr>
      <w:r w:rsidDel="00000000" w:rsidR="00000000" w:rsidRPr="00000000">
        <w:rPr>
          <w:rtl w:val="0"/>
        </w:rPr>
        <w:t xml:space="preserve">SPE is accomplished by passing the sample through a material which retains the HEM components. The HEM is then extracted by rinsing with solvent to carry the HEM into a collection dish or flask. </w:t>
      </w:r>
    </w:p>
    <w:p w:rsidR="00000000" w:rsidDel="00000000" w:rsidP="00000000" w:rsidRDefault="00000000" w:rsidRPr="00000000" w14:paraId="0000001F">
      <w:pPr>
        <w:numPr>
          <w:ilvl w:val="0"/>
          <w:numId w:val="1"/>
        </w:numPr>
        <w:spacing w:line="240" w:lineRule="auto"/>
        <w:ind w:left="1440" w:hanging="360"/>
        <w:rPr>
          <w:u w:val="none"/>
        </w:rPr>
      </w:pPr>
      <w:r w:rsidDel="00000000" w:rsidR="00000000" w:rsidRPr="00000000">
        <w:rPr>
          <w:rtl w:val="0"/>
        </w:rPr>
        <w:t xml:space="preserve">This method has the advantage of reduced solvent usage (often more than 50% less), no dangerous pressure buildup, and avoiding the formation of emulsions.</w:t>
      </w:r>
    </w:p>
    <w:p w:rsidR="00000000" w:rsidDel="00000000" w:rsidP="00000000" w:rsidRDefault="00000000" w:rsidRPr="00000000" w14:paraId="00000020">
      <w:pPr>
        <w:spacing w:line="240" w:lineRule="auto"/>
        <w:ind w:left="1440" w:firstLine="0"/>
        <w:rPr/>
      </w:pPr>
      <w:r w:rsidDel="00000000" w:rsidR="00000000" w:rsidRPr="00000000">
        <w:rPr>
          <w:rtl w:val="0"/>
        </w:rPr>
      </w:r>
    </w:p>
    <w:p w:rsidR="00000000" w:rsidDel="00000000" w:rsidP="00000000" w:rsidRDefault="00000000" w:rsidRPr="00000000" w14:paraId="00000021">
      <w:pPr>
        <w:spacing w:line="240" w:lineRule="auto"/>
        <w:ind w:left="0" w:firstLine="0"/>
        <w:rPr/>
      </w:pPr>
      <w:r w:rsidDel="00000000" w:rsidR="00000000" w:rsidRPr="00000000">
        <w:rPr>
          <w:rtl w:val="0"/>
        </w:rPr>
        <w:tab/>
        <w:t xml:space="preserve">Important considerations:</w:t>
      </w:r>
    </w:p>
    <w:p w:rsidR="00000000" w:rsidDel="00000000" w:rsidP="00000000" w:rsidRDefault="00000000" w:rsidRPr="00000000" w14:paraId="00000022">
      <w:pPr>
        <w:numPr>
          <w:ilvl w:val="0"/>
          <w:numId w:val="1"/>
        </w:numPr>
        <w:spacing w:line="240" w:lineRule="auto"/>
        <w:ind w:left="1440" w:hanging="360"/>
        <w:rPr>
          <w:u w:val="none"/>
        </w:rPr>
      </w:pPr>
      <w:r w:rsidDel="00000000" w:rsidR="00000000" w:rsidRPr="00000000">
        <w:rPr>
          <w:b w:val="1"/>
          <w:rtl w:val="0"/>
        </w:rPr>
        <w:t xml:space="preserve">Solvent</w:t>
      </w:r>
      <w:r w:rsidDel="00000000" w:rsidR="00000000" w:rsidRPr="00000000">
        <w:rPr>
          <w:rtl w:val="0"/>
        </w:rPr>
        <w:t xml:space="preserve">: </w:t>
      </w:r>
      <w:r w:rsidDel="00000000" w:rsidR="00000000" w:rsidRPr="00000000">
        <w:rPr>
          <w:color w:val="333333"/>
          <w:highlight w:val="white"/>
          <w:rtl w:val="0"/>
        </w:rPr>
        <w:t xml:space="preserve">Whether you choose liquid-liquid, Soxhlet, or some sort of SPE method you must use n-hexane and only n-hexane as the active solvent. If using solid phase discs that require activation (typically with methanol) before the sample is filtered, all traces of that solvent must be removed before the sample is eluted from the disc. </w:t>
      </w:r>
    </w:p>
    <w:p w:rsidR="00000000" w:rsidDel="00000000" w:rsidP="00000000" w:rsidRDefault="00000000" w:rsidRPr="00000000" w14:paraId="00000023">
      <w:pPr>
        <w:numPr>
          <w:ilvl w:val="0"/>
          <w:numId w:val="1"/>
        </w:numPr>
        <w:spacing w:line="240" w:lineRule="auto"/>
        <w:ind w:left="1440" w:hanging="360"/>
        <w:rPr>
          <w:u w:val="none"/>
        </w:rPr>
      </w:pPr>
      <w:r w:rsidDel="00000000" w:rsidR="00000000" w:rsidRPr="00000000">
        <w:rPr>
          <w:b w:val="1"/>
          <w:rtl w:val="0"/>
        </w:rPr>
        <w:t xml:space="preserve">Temperature</w:t>
      </w:r>
      <w:r w:rsidDel="00000000" w:rsidR="00000000" w:rsidRPr="00000000">
        <w:rPr>
          <w:rtl w:val="0"/>
        </w:rPr>
        <w:t xml:space="preserve">: </w:t>
      </w:r>
      <w:r w:rsidDel="00000000" w:rsidR="00000000" w:rsidRPr="00000000">
        <w:rPr>
          <w:color w:val="333333"/>
          <w:highlight w:val="white"/>
          <w:rtl w:val="0"/>
        </w:rPr>
        <w:t xml:space="preserve">Another crucial step is the evaporation temperature. Standard Methods recommends 85 °C while 1664A says 70 ± 2 °C. 1664B simply says to adjust the temperature as appropriate. The lower temperature lends itself to better standard recovery as you have less of a chance of volatilizing some of the lighter weight organics. Still, lower evaporation temperatures would allow for losing less material to volatilization at the expense of longer evaporating times.</w:t>
      </w:r>
    </w:p>
    <w:p w:rsidR="00000000" w:rsidDel="00000000" w:rsidP="00000000" w:rsidRDefault="00000000" w:rsidRPr="00000000" w14:paraId="00000024">
      <w:pPr>
        <w:numPr>
          <w:ilvl w:val="0"/>
          <w:numId w:val="1"/>
        </w:numPr>
        <w:spacing w:line="240" w:lineRule="auto"/>
        <w:ind w:left="1440" w:hanging="360"/>
        <w:rPr>
          <w:color w:val="333333"/>
          <w:highlight w:val="white"/>
        </w:rPr>
      </w:pPr>
      <w:r w:rsidDel="00000000" w:rsidR="00000000" w:rsidRPr="00000000">
        <w:rPr>
          <w:b w:val="1"/>
          <w:rtl w:val="0"/>
        </w:rPr>
        <w:t xml:space="preserve">Whole Volume samples</w:t>
      </w:r>
      <w:r w:rsidDel="00000000" w:rsidR="00000000" w:rsidRPr="00000000">
        <w:rPr>
          <w:rtl w:val="0"/>
        </w:rPr>
        <w:t xml:space="preserve">: </w:t>
      </w:r>
      <w:r w:rsidDel="00000000" w:rsidR="00000000" w:rsidRPr="00000000">
        <w:rPr>
          <w:color w:val="333333"/>
          <w:highlight w:val="white"/>
          <w:rtl w:val="0"/>
        </w:rPr>
        <w:t xml:space="preserve">When performing an analysis for HEM you must always use whole volume samples. Because the HEM constituents are typically not water soluble, the sample is not homogenous with respect to the analyte of interest. Almost all components of HEM will be found either on the surface of the sample or adhering to the walls of the container. </w:t>
      </w:r>
    </w:p>
    <w:p w:rsidR="00000000" w:rsidDel="00000000" w:rsidP="00000000" w:rsidRDefault="00000000" w:rsidRPr="00000000" w14:paraId="00000025">
      <w:pPr>
        <w:numPr>
          <w:ilvl w:val="0"/>
          <w:numId w:val="1"/>
        </w:numPr>
        <w:spacing w:line="240" w:lineRule="auto"/>
        <w:ind w:left="1440" w:hanging="360"/>
        <w:rPr>
          <w:color w:val="333333"/>
          <w:highlight w:val="white"/>
        </w:rPr>
      </w:pPr>
      <w:r w:rsidDel="00000000" w:rsidR="00000000" w:rsidRPr="00000000">
        <w:rPr>
          <w:b w:val="1"/>
          <w:color w:val="333333"/>
          <w:highlight w:val="white"/>
          <w:rtl w:val="0"/>
        </w:rPr>
        <w:t xml:space="preserve">Pouring aliquots</w:t>
      </w:r>
      <w:r w:rsidDel="00000000" w:rsidR="00000000" w:rsidRPr="00000000">
        <w:rPr>
          <w:color w:val="333333"/>
          <w:highlight w:val="white"/>
          <w:rtl w:val="0"/>
        </w:rPr>
        <w:t xml:space="preserve"> of the sample out for analysis will not give a representative sub-sampling in most cases. </w:t>
      </w:r>
    </w:p>
    <w:p w:rsidR="00000000" w:rsidDel="00000000" w:rsidP="00000000" w:rsidRDefault="00000000" w:rsidRPr="00000000" w14:paraId="00000026">
      <w:pPr>
        <w:numPr>
          <w:ilvl w:val="0"/>
          <w:numId w:val="1"/>
        </w:numPr>
        <w:spacing w:line="240" w:lineRule="auto"/>
        <w:ind w:left="1440" w:hanging="360"/>
        <w:rPr>
          <w:b w:val="1"/>
          <w:color w:val="333333"/>
          <w:highlight w:val="white"/>
        </w:rPr>
      </w:pPr>
      <w:r w:rsidDel="00000000" w:rsidR="00000000" w:rsidRPr="00000000">
        <w:rPr>
          <w:b w:val="1"/>
          <w:color w:val="333333"/>
          <w:highlight w:val="white"/>
          <w:rtl w:val="0"/>
        </w:rPr>
        <w:t xml:space="preserve">Acidify</w:t>
      </w:r>
      <w:r w:rsidDel="00000000" w:rsidR="00000000" w:rsidRPr="00000000">
        <w:rPr>
          <w:color w:val="333333"/>
          <w:highlight w:val="white"/>
          <w:rtl w:val="0"/>
        </w:rPr>
        <w:t xml:space="preserve"> - Always acidify your blanks and other standards. Failure to do so will result in incomplete recovery of your standards.</w:t>
      </w:r>
    </w:p>
    <w:p w:rsidR="00000000" w:rsidDel="00000000" w:rsidP="00000000" w:rsidRDefault="00000000" w:rsidRPr="00000000" w14:paraId="00000027">
      <w:pPr>
        <w:spacing w:line="240" w:lineRule="auto"/>
        <w:rPr>
          <w:color w:val="333333"/>
          <w:highlight w:val="white"/>
        </w:rPr>
      </w:pPr>
      <w:r w:rsidDel="00000000" w:rsidR="00000000" w:rsidRPr="00000000">
        <w:rPr>
          <w:rtl w:val="0"/>
        </w:rPr>
      </w:r>
    </w:p>
    <w:p w:rsidR="00000000" w:rsidDel="00000000" w:rsidP="00000000" w:rsidRDefault="00000000" w:rsidRPr="00000000" w14:paraId="00000028">
      <w:pPr>
        <w:spacing w:line="240" w:lineRule="auto"/>
        <w:rPr>
          <w:color w:val="333333"/>
          <w:highlight w:val="white"/>
        </w:rPr>
      </w:pPr>
      <w:r w:rsidDel="00000000" w:rsidR="00000000" w:rsidRPr="00000000">
        <w:rPr>
          <w:color w:val="333333"/>
          <w:highlight w:val="white"/>
          <w:rtl w:val="0"/>
        </w:rPr>
        <w:tab/>
      </w:r>
      <w:r w:rsidDel="00000000" w:rsidR="00000000" w:rsidRPr="00000000">
        <w:rPr>
          <w:highlight w:val="white"/>
          <w:rtl w:val="0"/>
        </w:rPr>
        <w:t xml:space="preserve">For details including calculations, </w:t>
      </w:r>
      <w:r w:rsidDel="00000000" w:rsidR="00000000" w:rsidRPr="00000000">
        <w:rPr>
          <w:color w:val="0000ff"/>
          <w:highlight w:val="white"/>
          <w:u w:val="single"/>
          <w:rtl w:val="0"/>
        </w:rPr>
        <w:t xml:space="preserve">refer to </w:t>
      </w:r>
      <w:r w:rsidDel="00000000" w:rsidR="00000000" w:rsidRPr="00000000">
        <w:rPr>
          <w:color w:val="0000ff"/>
          <w:sz w:val="21"/>
          <w:szCs w:val="21"/>
          <w:highlight w:val="white"/>
          <w:u w:val="single"/>
          <w:rtl w:val="0"/>
        </w:rPr>
        <w:t xml:space="preserve">EPA Method 1664 or SM5520 B/F.</w:t>
      </w:r>
      <w:r w:rsidDel="00000000" w:rsidR="00000000" w:rsidRPr="00000000">
        <w:rPr>
          <w:rtl w:val="0"/>
        </w:rPr>
      </w:r>
    </w:p>
    <w:p w:rsidR="00000000" w:rsidDel="00000000" w:rsidP="00000000" w:rsidRDefault="00000000" w:rsidRPr="00000000" w14:paraId="00000029">
      <w:pPr>
        <w:spacing w:line="240" w:lineRule="auto"/>
        <w:ind w:left="0" w:firstLine="0"/>
        <w:rPr>
          <w:b w:val="1"/>
          <w:sz w:val="26"/>
          <w:szCs w:val="26"/>
        </w:rPr>
      </w:pPr>
      <w:r w:rsidDel="00000000" w:rsidR="00000000" w:rsidRPr="00000000">
        <w:rPr>
          <w:rtl w:val="0"/>
        </w:rPr>
      </w:r>
    </w:p>
    <w:p w:rsidR="00000000" w:rsidDel="00000000" w:rsidP="00000000" w:rsidRDefault="00000000" w:rsidRPr="00000000" w14:paraId="0000002A">
      <w:pPr>
        <w:numPr>
          <w:ilvl w:val="0"/>
          <w:numId w:val="2"/>
        </w:numPr>
        <w:ind w:left="720" w:hanging="360"/>
      </w:pPr>
      <w:r w:rsidDel="00000000" w:rsidR="00000000" w:rsidRPr="00000000">
        <w:rPr>
          <w:b w:val="1"/>
          <w:sz w:val="26"/>
          <w:szCs w:val="26"/>
          <w:rtl w:val="0"/>
        </w:rPr>
        <w:t xml:space="preserve">Next step:</w:t>
      </w:r>
    </w:p>
    <w:p w:rsidR="00000000" w:rsidDel="00000000" w:rsidP="00000000" w:rsidRDefault="00000000" w:rsidRPr="00000000" w14:paraId="0000002B">
      <w:pPr>
        <w:ind w:left="720" w:firstLine="0"/>
        <w:rPr/>
      </w:pPr>
      <w:r w:rsidDel="00000000" w:rsidR="00000000" w:rsidRPr="00000000">
        <w:rPr>
          <w:color w:val="ffffff"/>
          <w:highlight w:val="darkBlue"/>
          <w:rtl w:val="0"/>
        </w:rPr>
        <w:t xml:space="preserve">In the next page, you will have to input the </w:t>
      </w:r>
      <w:r w:rsidDel="00000000" w:rsidR="00000000" w:rsidRPr="00000000">
        <w:rPr>
          <w:b w:val="1"/>
          <w:color w:val="ffff00"/>
          <w:highlight w:val="darkBlue"/>
          <w:rtl w:val="0"/>
        </w:rPr>
        <w:t xml:space="preserve">average of your determined Fats, Oil, Grease (FOGs) concentrations of mixed liquor in all Aeration Basins</w:t>
      </w:r>
      <w:r w:rsidDel="00000000" w:rsidR="00000000" w:rsidRPr="00000000">
        <w:rPr>
          <w:color w:val="ffffff"/>
          <w:highlight w:val="darkBlue"/>
          <w:rtl w:val="0"/>
        </w:rPr>
        <w:t xml:space="preserve"> in service. Jarvis will use this input to test or check if it’s a sign of a problem within your facility.</w:t>
      </w: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