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500" w:after="160"/>
        <w:jc w:val="left"/>
      </w:pPr>
      <w:r>
        <w:rPr>
          <w:rFonts w:ascii="Liberation Sans" w:hAnsi="Liberation Sans" w:eastAsia="Liberation Sans"/>
          <w:b/>
          <w:color w:val="1F4E78"/>
          <w:sz w:val="50"/>
        </w:rPr>
        <w:t>(Szakmai) üzlethasznosítási koncepció</w:t>
      </w:r>
    </w:p>
    <w:p>
      <w:pPr>
        <w:widowControl/>
        <w:spacing w:after="360"/>
      </w:pPr>
      <w:r>
        <w:rPr>
          <w:rFonts w:ascii="Liberation Sans" w:hAnsi="Liberation Sans" w:eastAsia="Liberation Sans"/>
          <w:color w:val="6B7280"/>
          <w:sz w:val="25"/>
        </w:rPr>
        <w:t>Pályázati követelmények, pontozási rendszer és összeállítási ellenőrzőlista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1F4E78"/>
          <w:left w:val="single" w:sz="0" w:space="0" w:color="1F4E78"/>
          <w:bottom w:val="single" w:sz="0" w:space="0" w:color="1F4E78"/>
          <w:right w:val="single" w:sz="0" w:space="0" w:color="1F4E78"/>
          <w:insideH w:val="single" w:sz="0" w:space="0" w:color="1F4E78"/>
          <w:insideV w:val="single" w:sz="0" w:space="0" w:color="1F4E78"/>
        </w:tblBorders>
      </w:tblPr>
      <w:tblGrid>
        <w:gridCol w:w="10200"/>
      </w:tblGrid>
      <w:tr>
        <w:tc>
          <w:tcPr>
            <w:tcW w:type="dxa" w:w="3685"/>
            <w:shd w:fill="1F4E78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widowControl/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</w:tblPr>
      <w:tblGrid>
        <w:gridCol w:w="9638"/>
      </w:tblGrid>
      <w:tr>
        <w:tc>
          <w:tcPr>
            <w:tcW w:type="dxa" w:w="10200"/>
            <w:shd w:fill="EEF5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8"/>
                <w:sz w:val="21"/>
              </w:rPr>
              <w:t>Alapkövetelmény</w:t>
            </w:r>
          </w:p>
          <w:p>
            <w:pPr>
              <w:spacing w:after="0" w:line="257" w:lineRule="auto"/>
            </w:pPr>
            <w:r>
              <w:rPr>
                <w:rFonts w:ascii="Liberation Sans" w:hAnsi="Liberation Sans" w:eastAsia="Liberation Sans"/>
                <w:color w:val="243746"/>
                <w:sz w:val="20"/>
              </w:rPr>
              <w:t>Az ajánlattevőnek legalább 1500 szó terjedelmű szakmai üzlethasznosítási koncepciót kell csatolnia. A koncepció maximum 40 pontot érhet.</w:t>
            </w:r>
          </w:p>
        </w:tc>
      </w:tr>
    </w:tbl>
    <w:p>
      <w:pPr>
        <w:widowControl/>
        <w:spacing w:after="40"/>
      </w:pPr>
    </w:p>
    <w:p>
      <w:pPr>
        <w:keepNext/>
        <w:widowControl/>
        <w:spacing w:before="100" w:after="80" w:line="259" w:lineRule="auto"/>
      </w:pPr>
      <w:r>
        <w:rPr>
          <w:rFonts w:ascii="Liberation Sans" w:hAnsi="Liberation Sans" w:eastAsia="Liberation Sans"/>
          <w:b/>
          <w:color w:val="1F4E78"/>
          <w:sz w:val="21"/>
        </w:rPr>
        <w:t>A dokumentum célja</w:t>
      </w:r>
    </w:p>
    <w:p>
      <w:pPr>
        <w:keepNext w:val="0"/>
        <w:widowControl/>
        <w:spacing w:before="0" w:after="160" w:line="259" w:lineRule="auto"/>
      </w:pPr>
      <w:r>
        <w:rPr>
          <w:rFonts w:ascii="Liberation Sans" w:hAnsi="Liberation Sans" w:eastAsia="Liberation Sans"/>
          <w:color w:val="243746"/>
          <w:sz w:val="21"/>
        </w:rPr>
        <w:t>A kiírás követelményeinek áttekinthető rendszerezése, a pontszerzési lehetőségek összefoglalása, valamint egy olyan szerkezet biztosítása, amely alapján a tényleges pályázati koncepció elkészíthető.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EE7"/>
          <w:left w:val="single" w:sz="6" w:space="0" w:color="D3DEE7"/>
          <w:bottom w:val="single" w:sz="6" w:space="0" w:color="D3DEE7"/>
          <w:right w:val="single" w:sz="6" w:space="0" w:color="D3DEE7"/>
          <w:insideH w:val="single" w:sz="6" w:space="0" w:color="D3DEE7"/>
          <w:insideV w:val="single" w:sz="6" w:space="0" w:color="D3DEE7"/>
        </w:tblBorders>
      </w:tblPr>
      <w:tblGrid>
        <w:gridCol w:w="5100"/>
        <w:gridCol w:w="5100"/>
      </w:tblGrid>
      <w:tr>
        <w:tc>
          <w:tcPr>
            <w:tcW w:type="dxa" w:w="3628"/>
            <w:shd w:fill="D9EAF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F4E78"/>
                <w:sz w:val="19"/>
              </w:rPr>
              <w:t>Pályázati dokumentum hivatkozása</w:t>
            </w:r>
          </w:p>
        </w:tc>
        <w:tc>
          <w:tcPr>
            <w:tcW w:type="dxa" w:w="600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746"/>
                <w:sz w:val="19"/>
              </w:rPr>
              <w:t>HG-045</w:t>
            </w:r>
          </w:p>
        </w:tc>
      </w:tr>
      <w:tr>
        <w:tc>
          <w:tcPr>
            <w:tcW w:type="dxa" w:w="3628"/>
            <w:shd w:fill="D9EAF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F4E78"/>
                <w:sz w:val="19"/>
              </w:rPr>
              <w:t>Minimum terjedelem</w:t>
            </w:r>
          </w:p>
        </w:tc>
        <w:tc>
          <w:tcPr>
            <w:tcW w:type="dxa" w:w="600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746"/>
                <w:sz w:val="19"/>
              </w:rPr>
              <w:t>1500 szó</w:t>
            </w:r>
          </w:p>
        </w:tc>
      </w:tr>
      <w:tr>
        <w:tc>
          <w:tcPr>
            <w:tcW w:type="dxa" w:w="3628"/>
            <w:shd w:fill="D9EAF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F4E78"/>
                <w:sz w:val="19"/>
              </w:rPr>
              <w:t>Maximális pontszám</w:t>
            </w:r>
          </w:p>
        </w:tc>
        <w:tc>
          <w:tcPr>
            <w:tcW w:type="dxa" w:w="600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746"/>
                <w:sz w:val="19"/>
              </w:rPr>
              <w:t>40 pont</w:t>
            </w:r>
          </w:p>
        </w:tc>
      </w:tr>
      <w:tr>
        <w:tc>
          <w:tcPr>
            <w:tcW w:type="dxa" w:w="3628"/>
            <w:shd w:fill="D9EAF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1F4E78"/>
                <w:sz w:val="19"/>
              </w:rPr>
              <w:t>Preferált hasznosítás</w:t>
            </w:r>
          </w:p>
        </w:tc>
        <w:tc>
          <w:tcPr>
            <w:tcW w:type="dxa" w:w="600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243746"/>
                <w:sz w:val="19"/>
              </w:rPr>
              <w:t>Oktatási és/vagy kulturális jellegű tevékenység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1. Kötelező tartalmi elemek</w:t>
      </w:r>
    </w:p>
    <w:p>
      <w:pPr>
        <w:keepNext w:val="0"/>
        <w:widowControl/>
        <w:spacing w:before="0" w:after="100" w:line="259" w:lineRule="auto"/>
      </w:pPr>
      <w:r>
        <w:rPr>
          <w:rFonts w:ascii="Liberation Sans" w:hAnsi="Liberation Sans" w:eastAsia="Liberation Sans"/>
          <w:color w:val="243746"/>
          <w:sz w:val="21"/>
        </w:rPr>
        <w:t>A szakmai üzlethasznosítási koncepciónak legalább az alábbi témákat kell érdemben bemutatnia: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  <w:color w:val="243746"/>
          <w:sz w:val="20"/>
        </w:rPr>
        <w:t>Az ajánlattevő jelenlegi alaptevékenységének bemutatása.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  <w:color w:val="243746"/>
          <w:sz w:val="20"/>
        </w:rPr>
        <w:t>A bérleményben tervezett tevékenység részletes bemutatása.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  <w:color w:val="243746"/>
          <w:sz w:val="20"/>
        </w:rPr>
        <w:t>A célcsoport meghatározása.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  <w:color w:val="243746"/>
          <w:sz w:val="20"/>
        </w:rPr>
        <w:t>Szakmai referenciák, korábbi hasonló tevékenységek és a szakmai csapat bemutatása.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  <w:color w:val="243746"/>
          <w:sz w:val="20"/>
        </w:rPr>
        <w:t>A felújítás és/vagy átalakítás időtávja, ütemezése, valamint a tervezett nyitási időpont.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  <w:color w:val="243746"/>
          <w:sz w:val="20"/>
        </w:rPr>
        <w:t>A felújítási és/vagy átalakítási terv, továbbá a becsült költségek bemutatása.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  <w:color w:val="243746"/>
          <w:sz w:val="20"/>
        </w:rPr>
        <w:t>A tervezett tevékenység arculatának rövid bemutatása.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  <w:color w:val="243746"/>
          <w:sz w:val="20"/>
        </w:rPr>
        <w:t>Annak indoklása, hogy a tevékenység miért előnyös Józsefváros számára, és miért ez a bérlemény a legmegfelelőbb hozzá.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  <w:color w:val="243746"/>
          <w:sz w:val="20"/>
        </w:rPr>
        <w:t>Az oktatási és/vagy kulturális jelleg részletes bemutatása.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  <w:color w:val="243746"/>
          <w:sz w:val="20"/>
        </w:rPr>
        <w:t>A Józsefvárosi Önkormányzattal és a helyi lakossággal való együttműködés lehetőségei.</w:t>
      </w:r>
    </w:p>
    <w:p>
      <w:pPr>
        <w:pStyle w:val="ListBullet"/>
        <w:widowControl/>
        <w:spacing w:after="50" w:line="252" w:lineRule="auto"/>
      </w:pPr>
      <w:r>
        <w:rPr>
          <w:rFonts w:ascii="Liberation Sans" w:hAnsi="Liberation Sans" w:eastAsia="Liberation Sans"/>
          <w:color w:val="243746"/>
          <w:sz w:val="20"/>
        </w:rPr>
        <w:t>A vállalt közérdekű felajánlások bemutatása, amennyiben vannak ilyenek.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</w:tblPr>
      <w:tblGrid>
        <w:gridCol w:w="9638"/>
      </w:tblGrid>
      <w:tr>
        <w:tc>
          <w:tcPr>
            <w:tcW w:type="dxa" w:w="10200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8"/>
                <w:sz w:val="21"/>
              </w:rPr>
              <w:t>Fontos</w:t>
            </w:r>
          </w:p>
          <w:p>
            <w:pPr>
              <w:spacing w:after="0" w:line="257" w:lineRule="auto"/>
            </w:pPr>
            <w:r>
              <w:rPr>
                <w:rFonts w:ascii="Liberation Sans" w:hAnsi="Liberation Sans" w:eastAsia="Liberation Sans"/>
                <w:color w:val="243746"/>
                <w:sz w:val="20"/>
              </w:rPr>
              <w:t>A minimum 1500 szavas terjedelem önmagában nem elegendő: minden kötelező témának konkrét, számszerűsíthető és lehetőség szerint igazolható vállalásokat kell tartalmaznia.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2. A pontozási rendszer összefoglalása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1"/>
          <w:left w:val="single" w:sz="6" w:space="0" w:color="B7C5D1"/>
          <w:bottom w:val="single" w:sz="6" w:space="0" w:color="B7C5D1"/>
          <w:right w:val="single" w:sz="6" w:space="0" w:color="B7C5D1"/>
          <w:insideH w:val="single" w:sz="6" w:space="0" w:color="B7C5D1"/>
          <w:insideV w:val="single" w:sz="6" w:space="0" w:color="B7C5D1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7824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Értékelési kategória</w:t>
            </w:r>
          </w:p>
        </w:tc>
        <w:tc>
          <w:tcPr>
            <w:tcW w:type="dxa" w:w="1814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Maximum</w:t>
            </w:r>
          </w:p>
        </w:tc>
      </w:tr>
      <w:tr>
        <w:trPr>
          <w:cantSplit/>
        </w:trPr>
        <w:tc>
          <w:tcPr>
            <w:tcW w:type="dxa" w:w="782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Vállalt felújítások</w:t>
            </w:r>
          </w:p>
        </w:tc>
        <w:tc>
          <w:tcPr>
            <w:tcW w:type="dxa" w:w="181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8 pont</w:t>
            </w:r>
          </w:p>
        </w:tc>
      </w:tr>
      <w:tr>
        <w:trPr>
          <w:cantSplit/>
        </w:trPr>
        <w:tc>
          <w:tcPr>
            <w:tcW w:type="dxa" w:w="782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Felújítások ütemezése</w:t>
            </w:r>
          </w:p>
        </w:tc>
        <w:tc>
          <w:tcPr>
            <w:tcW w:type="dxa" w:w="181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5 pont</w:t>
            </w:r>
          </w:p>
        </w:tc>
      </w:tr>
      <w:tr>
        <w:trPr>
          <w:cantSplit/>
        </w:trPr>
        <w:tc>
          <w:tcPr>
            <w:tcW w:type="dxa" w:w="782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Vállalkozás erőssége / referencia</w:t>
            </w:r>
          </w:p>
        </w:tc>
        <w:tc>
          <w:tcPr>
            <w:tcW w:type="dxa" w:w="181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8 pont</w:t>
            </w:r>
          </w:p>
        </w:tc>
      </w:tr>
      <w:tr>
        <w:trPr>
          <w:cantSplit/>
        </w:trPr>
        <w:tc>
          <w:tcPr>
            <w:tcW w:type="dxa" w:w="782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Oktatási / kulturális tevékenység</w:t>
            </w:r>
          </w:p>
        </w:tc>
        <w:tc>
          <w:tcPr>
            <w:tcW w:type="dxa" w:w="181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8 pont</w:t>
            </w:r>
          </w:p>
        </w:tc>
      </w:tr>
      <w:tr>
        <w:trPr>
          <w:cantSplit/>
        </w:trPr>
        <w:tc>
          <w:tcPr>
            <w:tcW w:type="dxa" w:w="782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Közösségi programok</w:t>
            </w:r>
          </w:p>
        </w:tc>
        <w:tc>
          <w:tcPr>
            <w:tcW w:type="dxa" w:w="181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8 pont</w:t>
            </w:r>
          </w:p>
        </w:tc>
      </w:tr>
      <w:tr>
        <w:trPr>
          <w:cantSplit/>
        </w:trPr>
        <w:tc>
          <w:tcPr>
            <w:tcW w:type="dxa" w:w="782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Rugalmasság és együttműködés az önkormányzattal</w:t>
            </w:r>
          </w:p>
        </w:tc>
        <w:tc>
          <w:tcPr>
            <w:tcW w:type="dxa" w:w="181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3 pont</w:t>
            </w:r>
          </w:p>
        </w:tc>
      </w:tr>
      <w:tr>
        <w:trPr>
          <w:cantSplit/>
        </w:trPr>
        <w:tc>
          <w:tcPr>
            <w:tcW w:type="dxa" w:w="782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Összesen</w:t>
            </w:r>
          </w:p>
        </w:tc>
        <w:tc>
          <w:tcPr>
            <w:tcW w:type="dxa" w:w="181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40 pont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</w:tblPr>
      <w:tblGrid>
        <w:gridCol w:w="9638"/>
      </w:tblGrid>
      <w:tr>
        <w:tc>
          <w:tcPr>
            <w:tcW w:type="dxa" w:w="10200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8"/>
                <w:sz w:val="21"/>
              </w:rPr>
              <w:t>A maximális 40 pont logikája</w:t>
            </w:r>
          </w:p>
          <w:p>
            <w:pPr>
              <w:spacing w:after="0" w:line="257" w:lineRule="auto"/>
            </w:pPr>
            <w:r>
              <w:rPr>
                <w:rFonts w:ascii="Liberation Sans" w:hAnsi="Liberation Sans" w:eastAsia="Liberation Sans"/>
                <w:color w:val="243746"/>
                <w:sz w:val="20"/>
              </w:rPr>
              <w:t>A teljes pontszámhoz a legerősebb, egymást kizáró pontozási opciót kell teljesíteni minden kategóriában, továbbá valamennyi összeadható részvállalást is vállalni és igazolni kell.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3. Részletes pontozási szempontok</w:t>
      </w:r>
    </w:p>
    <w:p>
      <w:pPr>
        <w:pStyle w:val="Heading2"/>
        <w:widowControl/>
      </w:pPr>
      <w:r>
        <w:t>3.1. Vállalt felújítások – maximum 8 pont</w:t>
      </w:r>
    </w:p>
    <w:p>
      <w:pPr>
        <w:keepNext w:val="0"/>
        <w:widowControl/>
        <w:spacing w:before="0" w:after="80" w:line="259" w:lineRule="auto"/>
      </w:pPr>
      <w:r>
        <w:rPr>
          <w:rFonts w:ascii="Liberation Sans" w:hAnsi="Liberation Sans" w:eastAsia="Liberation Sans"/>
          <w:color w:val="243746"/>
          <w:sz w:val="21"/>
        </w:rPr>
        <w:t>A pontszám a ráfordítás összegéből, a kert rendbetételéből és az esztétikai felújításokból áll össze.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1"/>
          <w:left w:val="single" w:sz="6" w:space="0" w:color="B7C5D1"/>
          <w:bottom w:val="single" w:sz="6" w:space="0" w:color="B7C5D1"/>
          <w:right w:val="single" w:sz="6" w:space="0" w:color="B7C5D1"/>
          <w:insideH w:val="single" w:sz="6" w:space="0" w:color="B7C5D1"/>
          <w:insideV w:val="single" w:sz="6" w:space="0" w:color="B7C5D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5272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Feltétel / vállalás</w:t>
            </w:r>
          </w:p>
        </w:tc>
        <w:tc>
          <w:tcPr>
            <w:tcW w:type="dxa" w:w="794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Pont</w:t>
            </w:r>
          </w:p>
        </w:tc>
        <w:tc>
          <w:tcPr>
            <w:tcW w:type="dxa" w:w="3572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Javasolt alátámasztás</w:t>
            </w:r>
          </w:p>
        </w:tc>
      </w:tr>
      <w:tr>
        <w:trPr>
          <w:cantSplit/>
        </w:trPr>
        <w:tc>
          <w:tcPr>
            <w:tcW w:type="dxa" w:w="52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Árajánlattal alátámasztott felújítási összeg meghaladja a 10 millió Ft-ot.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4</w:t>
            </w:r>
          </w:p>
        </w:tc>
        <w:tc>
          <w:tcPr>
            <w:tcW w:type="dxa" w:w="35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Tételes árajánlat(ok), költségvetés.</w:t>
            </w:r>
          </w:p>
        </w:tc>
      </w:tr>
      <w:tr>
        <w:trPr>
          <w:cantSplit/>
        </w:trPr>
        <w:tc>
          <w:tcPr>
            <w:tcW w:type="dxa" w:w="52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Árajánlattal alátámasztott felújítási összeg meghaladja a 8 millió Ft-ot.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3</w:t>
            </w:r>
          </w:p>
        </w:tc>
        <w:tc>
          <w:tcPr>
            <w:tcW w:type="dxa" w:w="35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Tételes árajánlat(ok), költségvetés.</w:t>
            </w:r>
          </w:p>
        </w:tc>
      </w:tr>
      <w:tr>
        <w:trPr>
          <w:cantSplit/>
        </w:trPr>
        <w:tc>
          <w:tcPr>
            <w:tcW w:type="dxa" w:w="52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Árajánlattal alátámasztott felújítási összeg meghaladja az 5 millió Ft-ot.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  <w:tc>
          <w:tcPr>
            <w:tcW w:type="dxa" w:w="35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Tételes árajánlat(ok), költségvetés.</w:t>
            </w:r>
          </w:p>
        </w:tc>
      </w:tr>
      <w:tr>
        <w:trPr>
          <w:cantSplit/>
        </w:trPr>
        <w:tc>
          <w:tcPr>
            <w:tcW w:type="dxa" w:w="52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A kert rendbetételének vállalása.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  <w:tc>
          <w:tcPr>
            <w:tcW w:type="dxa" w:w="35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Leírás, látványterv vagy munkanemek, költségkeret.</w:t>
            </w:r>
          </w:p>
        </w:tc>
      </w:tr>
      <w:tr>
        <w:trPr>
          <w:cantSplit/>
        </w:trPr>
        <w:tc>
          <w:tcPr>
            <w:tcW w:type="dxa" w:w="52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Esztétikai felújítások vállalása, elsődlegesen a homlokzaton.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  <w:tc>
          <w:tcPr>
            <w:tcW w:type="dxa" w:w="35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Homlokzati/esztétikai munkák leírása és költsége.</w:t>
            </w:r>
          </w:p>
        </w:tc>
      </w:tr>
    </w:tbl>
    <w:p>
      <w:pPr>
        <w:widowControl/>
        <w:spacing w:after="40"/>
      </w:pPr>
    </w:p>
    <w:p>
      <w:pPr>
        <w:keepNext w:val="0"/>
        <w:widowControl/>
        <w:spacing w:before="0" w:after="120" w:line="259" w:lineRule="auto"/>
      </w:pPr>
      <w:r>
        <w:rPr>
          <w:rFonts w:ascii="Liberation Sans" w:hAnsi="Liberation Sans" w:eastAsia="Liberation Sans"/>
          <w:color w:val="243746"/>
          <w:sz w:val="21"/>
        </w:rPr>
        <w:t>Megjegyzés: a három felújítási értékhatár közül csak a legmagasabb teljesített sáv pontja vehető figyelembe.</w:t>
      </w:r>
    </w:p>
    <w:p>
      <w:pPr>
        <w:pStyle w:val="Heading2"/>
        <w:widowControl/>
      </w:pPr>
      <w:r>
        <w:t>3.2. Vállalt felújítások ütemezése – maximum 5 pont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1"/>
          <w:left w:val="single" w:sz="6" w:space="0" w:color="B7C5D1"/>
          <w:bottom w:val="single" w:sz="6" w:space="0" w:color="B7C5D1"/>
          <w:right w:val="single" w:sz="6" w:space="0" w:color="B7C5D1"/>
          <w:insideH w:val="single" w:sz="6" w:space="0" w:color="B7C5D1"/>
          <w:insideV w:val="single" w:sz="6" w:space="0" w:color="B7C5D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5272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Feltétel</w:t>
            </w:r>
          </w:p>
        </w:tc>
        <w:tc>
          <w:tcPr>
            <w:tcW w:type="dxa" w:w="794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Pont</w:t>
            </w:r>
          </w:p>
        </w:tc>
        <w:tc>
          <w:tcPr>
            <w:tcW w:type="dxa" w:w="3572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Javasolt alátámasztás</w:t>
            </w:r>
          </w:p>
        </w:tc>
      </w:tr>
      <w:tr>
        <w:trPr>
          <w:cantSplit/>
        </w:trPr>
        <w:tc>
          <w:tcPr>
            <w:tcW w:type="dxa" w:w="52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Reális felújítási ütemezés, az átadást követő fél éven belüli nyitással.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5</w:t>
            </w:r>
          </w:p>
        </w:tc>
        <w:tc>
          <w:tcPr>
            <w:tcW w:type="dxa" w:w="35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Mérföldköves ütemterv, tervezett nyitási dátum.</w:t>
            </w:r>
          </w:p>
        </w:tc>
      </w:tr>
      <w:tr>
        <w:trPr>
          <w:cantSplit/>
        </w:trPr>
        <w:tc>
          <w:tcPr>
            <w:tcW w:type="dxa" w:w="52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Reális felújítási ütemezés, az átadást követő egy éven belüli nyitással.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3</w:t>
            </w:r>
          </w:p>
        </w:tc>
        <w:tc>
          <w:tcPr>
            <w:tcW w:type="dxa" w:w="357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Mérföldköves ütemterv, tervezett nyitási dátum.</w:t>
            </w:r>
          </w:p>
        </w:tc>
      </w:tr>
    </w:tbl>
    <w:p>
      <w:pPr>
        <w:widowControl/>
        <w:spacing w:after="40"/>
      </w:pPr>
    </w:p>
    <w:p>
      <w:pPr>
        <w:keepNext w:val="0"/>
        <w:widowControl/>
        <w:spacing w:before="0" w:after="120" w:line="259" w:lineRule="auto"/>
      </w:pPr>
      <w:r>
        <w:rPr>
          <w:rFonts w:ascii="Liberation Sans" w:hAnsi="Liberation Sans" w:eastAsia="Liberation Sans"/>
          <w:color w:val="243746"/>
          <w:sz w:val="21"/>
        </w:rPr>
        <w:t>A két opció egymást kizárja; a vállalt határidőnek a bemutatott műszaki tartalomhoz és engedélyezési folyamathoz képest reálisnak kell lennie.</w:t>
      </w:r>
    </w:p>
    <w:p>
      <w:pPr>
        <w:pStyle w:val="Heading2"/>
        <w:widowControl/>
      </w:pPr>
      <w:r>
        <w:t>3.3. Vállalkozás erőssége / referencia – maximum 8 pont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1"/>
          <w:left w:val="single" w:sz="6" w:space="0" w:color="B7C5D1"/>
          <w:bottom w:val="single" w:sz="6" w:space="0" w:color="B7C5D1"/>
          <w:right w:val="single" w:sz="6" w:space="0" w:color="B7C5D1"/>
          <w:insideH w:val="single" w:sz="6" w:space="0" w:color="B7C5D1"/>
          <w:insideV w:val="single" w:sz="6" w:space="0" w:color="B7C5D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4989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Feltétel</w:t>
            </w:r>
          </w:p>
        </w:tc>
        <w:tc>
          <w:tcPr>
            <w:tcW w:type="dxa" w:w="794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Pont</w:t>
            </w:r>
          </w:p>
        </w:tc>
        <w:tc>
          <w:tcPr>
            <w:tcW w:type="dxa" w:w="3855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Javasolt alátámasztás</w:t>
            </w:r>
          </w:p>
        </w:tc>
      </w:tr>
      <w:tr>
        <w:trPr>
          <w:cantSplit/>
        </w:trPr>
        <w:tc>
          <w:tcPr>
            <w:tcW w:type="dxa" w:w="4989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Korábbi hasonló tevékenység, igazolható referenciák és/vagy meglévő szakmai csapat.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  <w:tc>
          <w:tcPr>
            <w:tcW w:type="dxa" w:w="3855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Referencialista, szerződések, programok, csapattagok szakmai bemutatása.</w:t>
            </w:r>
          </w:p>
        </w:tc>
      </w:tr>
      <w:tr>
        <w:trPr>
          <w:cantSplit/>
        </w:trPr>
        <w:tc>
          <w:tcPr>
            <w:tcW w:type="dxa" w:w="4989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Korábban működtetett vagy üzemeltetett létesítmény.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  <w:tc>
          <w:tcPr>
            <w:tcW w:type="dxa" w:w="3855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Üzemeltetési referencia, időtartam, szerepkör és eredmények.</w:t>
            </w:r>
          </w:p>
        </w:tc>
      </w:tr>
      <w:tr>
        <w:trPr>
          <w:cantSplit/>
        </w:trPr>
        <w:tc>
          <w:tcPr>
            <w:tcW w:type="dxa" w:w="4989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Legalább 6 havi működési költség fedezete bankkivonattal igazolva.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4</w:t>
            </w:r>
          </w:p>
        </w:tc>
        <w:tc>
          <w:tcPr>
            <w:tcW w:type="dxa" w:w="3855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Bankkivonat és a havi működési költség számítása.</w:t>
            </w:r>
          </w:p>
        </w:tc>
      </w:tr>
      <w:tr>
        <w:trPr>
          <w:cantSplit/>
        </w:trPr>
        <w:tc>
          <w:tcPr>
            <w:tcW w:type="dxa" w:w="4989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Legalább 3 havi működési költség fedezete bankkivonattal igazolva.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  <w:tc>
          <w:tcPr>
            <w:tcW w:type="dxa" w:w="3855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Bankkivonat és a havi működési költség számítása.</w:t>
            </w:r>
          </w:p>
        </w:tc>
      </w:tr>
    </w:tbl>
    <w:p>
      <w:pPr>
        <w:widowControl/>
        <w:spacing w:after="40"/>
      </w:pPr>
    </w:p>
    <w:p>
      <w:pPr>
        <w:keepNext w:val="0"/>
        <w:widowControl/>
        <w:spacing w:before="0" w:after="120" w:line="259" w:lineRule="auto"/>
      </w:pPr>
      <w:r>
        <w:rPr>
          <w:rFonts w:ascii="Liberation Sans" w:hAnsi="Liberation Sans" w:eastAsia="Liberation Sans"/>
          <w:color w:val="243746"/>
          <w:sz w:val="21"/>
        </w:rPr>
        <w:t>Megjegyzés: a 6 havi és a 3 havi fedezetre járó pont nem adódik össze; a magasabb teljesített feltétel alkalmazandó.</w:t>
      </w:r>
    </w:p>
    <w:p>
      <w:pPr>
        <w:pStyle w:val="Heading2"/>
        <w:widowControl/>
      </w:pPr>
      <w:r>
        <w:t>3.4. Oktatási / kulturális tevékenység – maximum 8 pont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1"/>
          <w:left w:val="single" w:sz="6" w:space="0" w:color="B7C5D1"/>
          <w:bottom w:val="single" w:sz="6" w:space="0" w:color="B7C5D1"/>
          <w:right w:val="single" w:sz="6" w:space="0" w:color="B7C5D1"/>
          <w:insideH w:val="single" w:sz="6" w:space="0" w:color="B7C5D1"/>
          <w:insideV w:val="single" w:sz="6" w:space="0" w:color="B7C5D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4989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Tevékenység jellege</w:t>
            </w:r>
          </w:p>
        </w:tc>
        <w:tc>
          <w:tcPr>
            <w:tcW w:type="dxa" w:w="794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Pont</w:t>
            </w:r>
          </w:p>
        </w:tc>
        <w:tc>
          <w:tcPr>
            <w:tcW w:type="dxa" w:w="3855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Bemutatás fókusza</w:t>
            </w:r>
          </w:p>
        </w:tc>
      </w:tr>
      <w:tr>
        <w:trPr>
          <w:cantSplit/>
        </w:trPr>
        <w:tc>
          <w:tcPr>
            <w:tcW w:type="dxa" w:w="4989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A főtevékenység oktatási és/vagy kulturális tevékenység.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8</w:t>
            </w:r>
          </w:p>
        </w:tc>
        <w:tc>
          <w:tcPr>
            <w:tcW w:type="dxa" w:w="3855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A programkínálat, működési modell és célok központi eleme.</w:t>
            </w:r>
          </w:p>
        </w:tc>
      </w:tr>
      <w:tr>
        <w:trPr>
          <w:cantSplit/>
        </w:trPr>
        <w:tc>
          <w:tcPr>
            <w:tcW w:type="dxa" w:w="4989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Egyéb főtevékenység, amely oktatási és/vagy kulturális tevékenységet is magában foglal.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4</w:t>
            </w:r>
          </w:p>
        </w:tc>
        <w:tc>
          <w:tcPr>
            <w:tcW w:type="dxa" w:w="3855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Konkrét, rendszeres kulturális/oktatási programelemek.</w:t>
            </w:r>
          </w:p>
        </w:tc>
      </w:tr>
      <w:tr>
        <w:trPr>
          <w:cantSplit/>
        </w:trPr>
        <w:tc>
          <w:tcPr>
            <w:tcW w:type="dxa" w:w="4989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Minden más tevékenység.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0</w:t>
            </w:r>
          </w:p>
        </w:tc>
        <w:tc>
          <w:tcPr>
            <w:tcW w:type="dxa" w:w="3855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–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3.5. Közösségi programok – maximum 8 pont</w:t>
      </w:r>
    </w:p>
    <w:p>
      <w:pPr>
        <w:keepNext w:val="0"/>
        <w:widowControl/>
        <w:spacing w:before="0" w:after="80" w:line="259" w:lineRule="auto"/>
      </w:pPr>
      <w:r>
        <w:rPr>
          <w:rFonts w:ascii="Liberation Sans" w:hAnsi="Liberation Sans" w:eastAsia="Liberation Sans"/>
          <w:color w:val="243746"/>
          <w:sz w:val="21"/>
        </w:rPr>
        <w:t>A négy részszempont összeadható; mindegyik teljesítése 2 pontot ér.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1"/>
          <w:left w:val="single" w:sz="6" w:space="0" w:color="B7C5D1"/>
          <w:bottom w:val="single" w:sz="6" w:space="0" w:color="B7C5D1"/>
          <w:right w:val="single" w:sz="6" w:space="0" w:color="B7C5D1"/>
          <w:insideH w:val="single" w:sz="6" w:space="0" w:color="B7C5D1"/>
          <w:insideV w:val="single" w:sz="6" w:space="0" w:color="B7C5D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4932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Vállalás</w:t>
            </w:r>
          </w:p>
        </w:tc>
        <w:tc>
          <w:tcPr>
            <w:tcW w:type="dxa" w:w="794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Pont</w:t>
            </w:r>
          </w:p>
        </w:tc>
        <w:tc>
          <w:tcPr>
            <w:tcW w:type="dxa" w:w="3912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Bemutatandó részletek</w:t>
            </w:r>
          </w:p>
        </w:tc>
      </w:tr>
      <w:tr>
        <w:trPr>
          <w:cantSplit/>
        </w:trPr>
        <w:tc>
          <w:tcPr>
            <w:tcW w:type="dxa" w:w="493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Az ingatlan a lakosság számára nyitott térként működik.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  <w:tc>
          <w:tcPr>
            <w:tcW w:type="dxa" w:w="391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Nyitvatartás, hozzáférési feltételek, ingyenes vagy nyitott programelemek.</w:t>
            </w:r>
          </w:p>
        </w:tc>
      </w:tr>
      <w:tr>
        <w:trPr>
          <w:cantSplit/>
        </w:trPr>
        <w:tc>
          <w:tcPr>
            <w:tcW w:type="dxa" w:w="493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Már jelenleg is van kapcsolat a józsefvárosi lakossággal.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  <w:tc>
          <w:tcPr>
            <w:tcW w:type="dxa" w:w="391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Meglévő partnerségek, közösségi kapcsolatok, helyi referenciák.</w:t>
            </w:r>
          </w:p>
        </w:tc>
      </w:tr>
      <w:tr>
        <w:trPr>
          <w:cantSplit/>
        </w:trPr>
        <w:tc>
          <w:tcPr>
            <w:tcW w:type="dxa" w:w="493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Közösségi rendezvények vállalása.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  <w:tc>
          <w:tcPr>
            <w:tcW w:type="dxa" w:w="391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Rendszeresség, témák, célközönség, várható résztvevőszám.</w:t>
            </w:r>
          </w:p>
        </w:tc>
      </w:tr>
      <w:tr>
        <w:trPr>
          <w:cantSplit/>
        </w:trPr>
        <w:tc>
          <w:tcPr>
            <w:tcW w:type="dxa" w:w="493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Hátrányos helyzetűek számára programok vagy lehetőségek biztosítása.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  <w:tc>
          <w:tcPr>
            <w:tcW w:type="dxa" w:w="3912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Célzott program, kedvezmény, ingyenesség, partnerszervezet vagy hozzáférési modell.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3.6. Rugalmasság és együttműködés az önkormányzattal – maximum 3 pont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1"/>
          <w:left w:val="single" w:sz="6" w:space="0" w:color="B7C5D1"/>
          <w:bottom w:val="single" w:sz="6" w:space="0" w:color="B7C5D1"/>
          <w:right w:val="single" w:sz="6" w:space="0" w:color="B7C5D1"/>
          <w:insideH w:val="single" w:sz="6" w:space="0" w:color="B7C5D1"/>
          <w:insideV w:val="single" w:sz="6" w:space="0" w:color="B7C5D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5159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Együttműködés</w:t>
            </w:r>
          </w:p>
        </w:tc>
        <w:tc>
          <w:tcPr>
            <w:tcW w:type="dxa" w:w="794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Pont</w:t>
            </w:r>
          </w:p>
        </w:tc>
        <w:tc>
          <w:tcPr>
            <w:tcW w:type="dxa" w:w="3685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Elvárt tartalom</w:t>
            </w:r>
          </w:p>
        </w:tc>
      </w:tr>
      <w:tr>
        <w:trPr>
          <w:cantSplit/>
        </w:trPr>
        <w:tc>
          <w:tcPr>
            <w:tcW w:type="dxa" w:w="5159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Helyszínadás ÉS kapcsolódás egyéb önkormányzati programokhoz.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3</w:t>
            </w:r>
          </w:p>
        </w:tc>
        <w:tc>
          <w:tcPr>
            <w:tcW w:type="dxa" w:w="3685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Mindkét együttműködési forma konkrét vállalása.</w:t>
            </w:r>
          </w:p>
        </w:tc>
      </w:tr>
      <w:tr>
        <w:trPr>
          <w:cantSplit/>
        </w:trPr>
        <w:tc>
          <w:tcPr>
            <w:tcW w:type="dxa" w:w="5159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Helyszínadás VAGY kapcsolódás egyéb önkormányzati programokhoz.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1</w:t>
            </w:r>
          </w:p>
        </w:tc>
        <w:tc>
          <w:tcPr>
            <w:tcW w:type="dxa" w:w="3685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Legalább az egyik forma konkrét vállalása.</w:t>
            </w:r>
          </w:p>
        </w:tc>
      </w:tr>
      <w:tr>
        <w:trPr>
          <w:cantSplit/>
        </w:trPr>
        <w:tc>
          <w:tcPr>
            <w:tcW w:type="dxa" w:w="5159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Egyik együttműködési forma sem.</w:t>
            </w:r>
          </w:p>
        </w:tc>
        <w:tc>
          <w:tcPr>
            <w:tcW w:type="dxa" w:w="794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0</w:t>
            </w:r>
          </w:p>
        </w:tc>
        <w:tc>
          <w:tcPr>
            <w:tcW w:type="dxa" w:w="3685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–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 Ellenőrzőlista a maximális pontszámhoz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5D1"/>
          <w:left w:val="single" w:sz="6" w:space="0" w:color="B7C5D1"/>
          <w:bottom w:val="single" w:sz="6" w:space="0" w:color="B7C5D1"/>
          <w:right w:val="single" w:sz="6" w:space="0" w:color="B7C5D1"/>
          <w:insideH w:val="single" w:sz="6" w:space="0" w:color="B7C5D1"/>
          <w:insideV w:val="single" w:sz="6" w:space="0" w:color="B7C5D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Terület</w:t>
            </w:r>
          </w:p>
        </w:tc>
        <w:tc>
          <w:tcPr>
            <w:tcW w:type="dxa" w:w="6406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Maximális pontot célzó vállalás</w:t>
            </w:r>
          </w:p>
        </w:tc>
        <w:tc>
          <w:tcPr>
            <w:tcW w:type="dxa" w:w="850"/>
            <w:shd w:fill="1F4E78"/>
            <w:tcMar>
              <w:top w:w="100" w:type="dxa"/>
              <w:start w:w="95" w:type="dxa"/>
              <w:bottom w:w="100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Pont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Felújítási ráfordítás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10 millió Ft feletti, árajánlattal alátámasztott felújítás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Kert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A kert rendbetételének egyértelmű vállalása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Esztétika / homlokzat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Esztétikai, elsősorban homlokzati felújítás vállalása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Nyitás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Reális ütemterv és nyitás az átadást követő 6 hónapon belül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Hasonló tapasztalat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Korábbi hasonló tevékenység, referenciák és/vagy szakmai csapat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Létesítményüzemeltetés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Korábbi létesítmény-működtetési vagy -üzemeltetési referencia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Pénzügyi fedezet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Legalább 6 havi működési költség fedezete bankkivonattal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Tevékenységi fókusz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Elsődlegesen oktatási és/vagy kulturális tevékenység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Nyitott tér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A hely a lakosság számára nyitott térként működik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Helyi kapcsolat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Már meglévő kapcsolat a józsefvárosi lakossággal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Közösségi rendezvény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Konkrét, rendszeres vagy időszakos közösségi rendezvények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Hátrányos helyzetűek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Célzott programok vagy lehetőségek biztosítása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Önkormányzati együttműködés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Helyszínadás és más önkormányzati programokhoz kapcsolódás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Összesen</w:t>
            </w:r>
          </w:p>
        </w:tc>
        <w:tc>
          <w:tcPr>
            <w:tcW w:type="dxa" w:w="6406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</w:pPr>
            <w:r>
              <w:rPr>
                <w:rFonts w:ascii="Liberation Sans" w:hAnsi="Liberation Sans" w:eastAsia="Liberation Sans"/>
                <w:b w:val="0"/>
                <w:color w:val="243746"/>
                <w:sz w:val="18"/>
              </w:rPr>
              <w:t>Minden fenti feltétel teljesítése és igazolása esetén</w:t>
            </w:r>
          </w:p>
        </w:tc>
        <w:tc>
          <w:tcPr>
            <w:tcW w:type="dxa" w:w="850"/>
            <w:tcMar>
              <w:top w:w="88" w:type="dxa"/>
              <w:start w:w="92" w:type="dxa"/>
              <w:bottom w:w="88" w:type="dxa"/>
              <w:end w:w="92" w:type="dxa"/>
            </w:tcMar>
            <w:vAlign w:val="center"/>
            <w:shd w:fill="F7FAFC"/>
          </w:tcPr>
          <w:p>
            <w:pPr>
              <w:spacing w:after="0" w:line="245" w:lineRule="auto"/>
              <w:jc w:val="center"/>
            </w:pPr>
            <w:r>
              <w:rPr>
                <w:rFonts w:ascii="Liberation Sans" w:hAnsi="Liberation Sans" w:eastAsia="Liberation Sans"/>
                <w:b/>
                <w:color w:val="1F4E78"/>
                <w:sz w:val="18"/>
              </w:rPr>
              <w:t>40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5. Javasolt szerkezet a legalább 1500 szavas koncepcióhoz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1. Vezetői összefoglaló: </w:t>
      </w:r>
      <w:r>
        <w:rPr>
          <w:rFonts w:ascii="Liberation Sans" w:hAnsi="Liberation Sans" w:eastAsia="Liberation Sans"/>
          <w:color w:val="243746"/>
          <w:sz w:val="20"/>
        </w:rPr>
        <w:t>A hasznosítási ötlet, fő célok, Józsefváros számára teremtett érték és a megvalósítás rövid összefoglalása.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2. Az ajánlattevő bemutatása: </w:t>
      </w:r>
      <w:r>
        <w:rPr>
          <w:rFonts w:ascii="Liberation Sans" w:hAnsi="Liberation Sans" w:eastAsia="Liberation Sans"/>
          <w:color w:val="243746"/>
          <w:sz w:val="20"/>
        </w:rPr>
        <w:t>Jelenlegi alaptevékenység, szervezeti háttér, pénzügyi és működési stabilitás.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3. Szakmai csapat és referenciák: </w:t>
      </w:r>
      <w:r>
        <w:rPr>
          <w:rFonts w:ascii="Liberation Sans" w:hAnsi="Liberation Sans" w:eastAsia="Liberation Sans"/>
          <w:color w:val="243746"/>
          <w:sz w:val="20"/>
        </w:rPr>
        <w:t>Kulcsszereplők, tapasztalatok, hasonló projektek és létesítményüzemeltetési gyakorlat.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4. A tervezett tevékenység: </w:t>
      </w:r>
      <w:r>
        <w:rPr>
          <w:rFonts w:ascii="Liberation Sans" w:hAnsi="Liberation Sans" w:eastAsia="Liberation Sans"/>
          <w:color w:val="243746"/>
          <w:sz w:val="20"/>
        </w:rPr>
        <w:t>Szolgáltatások, programtípusok, működési modell, nyitvatartás és bevételi lábak.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5. Oktatási és kulturális program: </w:t>
      </w:r>
      <w:r>
        <w:rPr>
          <w:rFonts w:ascii="Liberation Sans" w:hAnsi="Liberation Sans" w:eastAsia="Liberation Sans"/>
          <w:color w:val="243746"/>
          <w:sz w:val="20"/>
        </w:rPr>
        <w:t>A kulturális/oktatási főprofil, konkrét programok, rendszeresség és szakmai partnerek.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6. Célcsoportok: </w:t>
      </w:r>
      <w:r>
        <w:rPr>
          <w:rFonts w:ascii="Liberation Sans" w:hAnsi="Liberation Sans" w:eastAsia="Liberation Sans"/>
          <w:color w:val="243746"/>
          <w:sz w:val="20"/>
        </w:rPr>
        <w:t>Elsődleges és másodlagos célközönség, józsefvárosi lakosok, korosztályok és bevonási módszerek.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7. Közösségi és társadalmi vállalások: </w:t>
      </w:r>
      <w:r>
        <w:rPr>
          <w:rFonts w:ascii="Liberation Sans" w:hAnsi="Liberation Sans" w:eastAsia="Liberation Sans"/>
          <w:color w:val="243746"/>
          <w:sz w:val="20"/>
        </w:rPr>
        <w:t>Nyitott programok, helyi lakosság, hátrányos helyzetű csoportok, foglalkoztatási és hozzáférési lehetőségek.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8. Felújítási és átalakítási terv: </w:t>
      </w:r>
      <w:r>
        <w:rPr>
          <w:rFonts w:ascii="Liberation Sans" w:hAnsi="Liberation Sans" w:eastAsia="Liberation Sans"/>
          <w:color w:val="243746"/>
          <w:sz w:val="20"/>
        </w:rPr>
        <w:t>Műszaki munkák, kert, homlokzat, esztétikai fejlesztések és a becsült költségek.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9. Ütemezés és nyitás: </w:t>
      </w:r>
      <w:r>
        <w:rPr>
          <w:rFonts w:ascii="Liberation Sans" w:hAnsi="Liberation Sans" w:eastAsia="Liberation Sans"/>
          <w:color w:val="243746"/>
          <w:sz w:val="20"/>
        </w:rPr>
        <w:t>Átadástól a nyitásig tartó mérföldkövek, felelősök, kockázatok és tartalékidő.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10. Arculat és térhasználat: </w:t>
      </w:r>
      <w:r>
        <w:rPr>
          <w:rFonts w:ascii="Liberation Sans" w:hAnsi="Liberation Sans" w:eastAsia="Liberation Sans"/>
          <w:color w:val="243746"/>
          <w:sz w:val="20"/>
        </w:rPr>
        <w:t>A hely vizuális és szakmai karaktere, a bérlemény adottságaihoz illeszkedő térfunkciók.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11. Józsefvárosi illeszkedés: </w:t>
      </w:r>
      <w:r>
        <w:rPr>
          <w:rFonts w:ascii="Liberation Sans" w:hAnsi="Liberation Sans" w:eastAsia="Liberation Sans"/>
          <w:color w:val="243746"/>
          <w:sz w:val="20"/>
        </w:rPr>
        <w:t>Miért hasznos a kerületnek, milyen hiányt tölt be, és miért ez a bérlemény a legalkalmasabb.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12. Önkormányzati együttműködés: </w:t>
      </w:r>
      <w:r>
        <w:rPr>
          <w:rFonts w:ascii="Liberation Sans" w:hAnsi="Liberation Sans" w:eastAsia="Liberation Sans"/>
          <w:color w:val="243746"/>
          <w:sz w:val="20"/>
        </w:rPr>
        <w:t>Helyszínadás, közös programok, kapcsolattartás és együttműködési keretek.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13. Közérdekű felajánlások: </w:t>
      </w:r>
      <w:r>
        <w:rPr>
          <w:rFonts w:ascii="Liberation Sans" w:hAnsi="Liberation Sans" w:eastAsia="Liberation Sans"/>
          <w:color w:val="243746"/>
          <w:sz w:val="20"/>
        </w:rPr>
        <w:t>Ingyenes alkalmak, kedvezmények, helyszínkapacitás vagy más mérhető felajánlások.</w:t>
      </w:r>
    </w:p>
    <w:p>
      <w:pPr>
        <w:keepLines/>
        <w:widowControl/>
        <w:spacing w:after="80"/>
      </w:pPr>
      <w:r>
        <w:rPr>
          <w:rFonts w:ascii="Liberation Sans" w:hAnsi="Liberation Sans" w:eastAsia="Liberation Sans"/>
          <w:b/>
          <w:color w:val="1F4E78"/>
          <w:sz w:val="20"/>
        </w:rPr>
        <w:t xml:space="preserve">14. Fenntarthatóság és működési fedezet: </w:t>
      </w:r>
      <w:r>
        <w:rPr>
          <w:rFonts w:ascii="Liberation Sans" w:hAnsi="Liberation Sans" w:eastAsia="Liberation Sans"/>
          <w:color w:val="243746"/>
          <w:sz w:val="20"/>
        </w:rPr>
        <w:t>Működési költségek, legalább 6 havi fedezet, bevételi terv és kockázatkezelés.</w:t>
      </w:r>
    </w:p>
    <w:p>
      <w:pPr>
        <w:pStyle w:val="Heading1"/>
        <w:widowControl/>
      </w:pPr>
      <w:r>
        <w:t>6. Csatolandó és előkészítendő alátámasztások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Tételes felújítási és átalakítási árajánlatok.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Felújítási költségösszesítő, külön feltüntetve a kert- és homlokzati munkákat.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Mérföldköves megvalósítási ütemterv és tervezett nyitási dátum.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Referencialista és a korábbi tevékenységeket alátámasztó dokumentumok vagy nyilvános hivatkozások.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 szakmai csapat rövid bemutatása, releváns tapasztalatokkal.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Korábbi létesítményüzemeltetési referencia, ha rendelkezésre áll.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Bankkivonat a vállalt működési fedezet igazolására.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 havi működési költség tételes számítása, amelyhez a 3 vagy 6 havi fedezet viszonyítható.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Programterv vagy mintaprogram-naptár az oktatási, kulturális és közösségi vállalásokkal.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Helyi vagy szakmai partnerek szándéknyilatkozatai, amennyiben rendelkezésre állnak.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Az önkormányzati együttműködés és közérdekű felajánlások konkrét, mérhető leírása.</w:t>
      </w:r>
    </w:p>
    <w:p>
      <w:pPr>
        <w:pStyle w:val="Heading1"/>
        <w:widowControl/>
      </w:pPr>
      <w:r>
        <w:t>7. Végső beadás előtti kontroll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 koncepció terjedelme eléri vagy meghaladja az 1500 szót.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Minden kötelező tartalmi elem külön, jól azonosítható fejezetben szerepel.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 pontozási szempontokhoz kapcsolódó vállalások konkrétak és számszerűek.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 felújítási összegek árajánlatokkal alá vannak támasztva.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 felújítási ütemezés reális és egyértelmű nyitási dátumot tartalmaz.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 működési költség és a bankkivonattal igazolt fedezet összhangban van.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Az oktatási és kulturális tevékenység főprofilként, nem csupán kiegészítő elemként jelenik meg, amennyiben a 8 pont a cél.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 józsefvárosi lakosság bevonása, a nyitott tér és a közösségi programok külön-külön is részletezettek.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 hátrányos helyzetűeknek szóló lehetőségek konkrétak és megvalósíthatók.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Az önkormányzat számára helyszínadás és egyéb programkapcsolódás is szerepel, amennyiben a 3 pont a cél.</w:t>
      </w:r>
    </w:p>
    <w:p>
      <w:pPr>
        <w:widowControl/>
        <w:spacing w:after="50" w:line="252" w:lineRule="auto"/>
        <w:ind w:left="142" w:hanging="142"/>
      </w:pPr>
      <w:r>
        <w:rPr>
          <w:rFonts w:ascii="Liberation Sans" w:hAnsi="Liberation Sans" w:eastAsia="Liberation Sans"/>
          <w:color w:val="243746"/>
          <w:sz w:val="20"/>
        </w:rPr>
        <w:t>☐ Minden hivatkozott melléklet csatolva van, és a dokumentumban egyértelműen azonosítható.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</w:tblPr>
      <w:tblGrid>
        <w:gridCol w:w="9638"/>
      </w:tblGrid>
      <w:tr>
        <w:tc>
          <w:tcPr>
            <w:tcW w:type="dxa" w:w="10200"/>
            <w:shd w:fill="EEF5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1F4E78"/>
                <w:sz w:val="21"/>
              </w:rPr>
              <w:t>Dokumentumhasználat</w:t>
            </w:r>
          </w:p>
          <w:p>
            <w:pPr>
              <w:spacing w:after="0" w:line="257" w:lineRule="auto"/>
            </w:pPr>
            <w:r>
              <w:rPr>
                <w:rFonts w:ascii="Liberation Sans" w:hAnsi="Liberation Sans" w:eastAsia="Liberation Sans"/>
                <w:color w:val="243746"/>
                <w:sz w:val="20"/>
              </w:rPr>
              <w:t>Ez az útmutató a pályázati kiírásban szereplő követelmények rendszerezett összefoglalása. A beadandó szakmai üzlethasznosítási koncepciót az ajánlattevő tényleges adataival, vállalásaival, költségeivel, referenciáival és igazolásaival kell kitölteni.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79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B7280"/>
        <w:sz w:val="17"/>
      </w:rPr>
      <w:t xml:space="preserve">Oldal </w:t>
    </w:r>
    <w:r>
      <w:rPr>
        <w:rFonts w:ascii="Liberation Sans" w:hAnsi="Liberation Sans" w:eastAsia="Liberation Sans"/>
        <w:color w:val="6B7280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color w:val="6B7280"/>
        <w:sz w:val="16"/>
      </w:rPr>
      <w:t>ÜZLETHASZNOSÍTÁSI KONCEPCIÓ – PÁLYÁZATI ÚTMUTATÓ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437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6B72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(Szakmai) üzlethasznosítási koncepció – pályázati útmutató</dc:title>
  <dc:subject>Pályázati követelmények és pontozási rendszer</dc:subject>
  <dc:creator>OpenAI</dc:creator>
  <cp:keywords>üzlethasznosítás, pályázat, Józsefváros, kulturális, oktatási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