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280"/>
        <w:jc w:val="center"/>
      </w:pPr>
      <w:r>
        <w:rPr>
          <w:rFonts w:ascii="Calibri" w:hAnsi="Calibri"/>
          <w:b/>
          <w:color w:val="1597A5"/>
          <w:sz w:val="20"/>
        </w:rPr>
        <w:t>AI DEFENSE LAB FOR PAYMENT SECURITY</w:t>
      </w:r>
    </w:p>
    <w:p>
      <w:pPr>
        <w:pStyle w:val="Title"/>
        <w:jc w:val="center"/>
      </w:pPr>
      <w:r>
        <w:t>FraudGuard 360</w:t>
      </w:r>
    </w:p>
    <w:p>
      <w:pPr>
        <w:pStyle w:val="Subtitle"/>
        <w:jc w:val="center"/>
      </w:pPr>
      <w:r>
        <w:t>Identify. Generate. Defend. Learn.</w:t>
      </w:r>
    </w:p>
    <w:p>
      <w:pPr>
        <w:spacing w:after="680"/>
        <w:jc w:val="center"/>
      </w:pPr>
      <w:r>
        <w:rPr>
          <w:rFonts w:ascii="Calibri" w:hAnsi="Calibri"/>
          <w:color w:val="667085"/>
          <w:sz w:val="22"/>
        </w:rPr>
        <w:t>Solution Walkthrough | Mastercard Innovation Challenge @ GFF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1597A5"/>
          <w:left w:val="single" w:sz="8" w:color="1597A5"/>
          <w:bottom w:val="single" w:sz="8" w:color="1597A5"/>
          <w:right w:val="single" w:sz="8" w:color="1597A5"/>
          <w:insideH w:val="single" w:sz="8" w:color="1597A5"/>
          <w:insideV w:val="single" w:sz="8" w:color="1597A5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97A5"/>
                <w:sz w:val="21"/>
              </w:rPr>
              <w:t xml:space="preserve">One-line pitch: </w:t>
            </w:r>
            <w:r>
              <w:rPr>
                <w:rFonts w:ascii="Calibri" w:hAnsi="Calibri"/>
                <w:color w:val="17212B"/>
                <w:sz w:val="21"/>
              </w:rPr>
              <w:t>FraudGuard 360 turns emerging fraud into a controlled synthetic moving target so the defense learns before an attack reaches the payment decision path.</w:t>
            </w:r>
          </w:p>
        </w:tc>
      </w:tr>
    </w:tbl>
    <w:p>
      <w:pPr>
        <w:spacing w:after="0"/>
      </w:pPr>
    </w:p>
    <w:p>
      <w:pPr>
        <w:spacing w:after="4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2300"/>
        <w:gridCol w:w="7060"/>
      </w:tblGrid>
      <w:tr>
        <w:trPr>
          <w:tblHeader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Submission artifact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Current prototype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System shape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Modular monolith with offline training and deterministic real-time scoring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Dataset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9,000 traceable synthetic training transactions plus one unseen attack-family holdout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Model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Regularized logistic regression + transparent rules (fg-linear-ad2919e91e)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Safety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Synthetic-only data, no real credentials, no GenAI in the authorization path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Generative AI makes payment fraud cheaper to vary, faster to scale, and harder for static defenses to anticipate. FraudGuard 360 answers the competition brief with one measurable closed loop: discover plausible attack families, generate safe synthetic payment behavior, score it through a live-style defense, identify misses and false positives, and route those gaps into reviewed hardening 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1597A5"/>
          <w:left w:val="single" w:sz="8" w:color="1597A5"/>
          <w:bottom w:val="single" w:sz="8" w:color="1597A5"/>
          <w:right w:val="single" w:sz="8" w:color="1597A5"/>
          <w:insideH w:val="single" w:sz="8" w:color="1597A5"/>
          <w:insideV w:val="single" w:sz="8" w:color="1597A5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97A5"/>
                <w:sz w:val="21"/>
              </w:rPr>
              <w:t xml:space="preserve">Competition fit: </w:t>
            </w:r>
            <w:r>
              <w:rPr>
                <w:rFonts w:ascii="Calibri" w:hAnsi="Calibri"/>
                <w:color w:val="17212B"/>
                <w:sz w:val="21"/>
              </w:rPr>
              <w:t>The challenge provides no dataset. Creating a high-fidelity, versioned simulation dataset is therefore a core deliverable, not a workaround.</w:t>
            </w:r>
          </w:p>
        </w:tc>
      </w:tr>
    </w:tbl>
    <w:p>
      <w:pPr>
        <w:spacing w:after="0"/>
      </w:pPr>
    </w:p>
    <w:p>
      <w:pPr>
        <w:pStyle w:val="Heading2"/>
      </w:pPr>
      <w:r>
        <w:t>What the judges can see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Attack diversity - </w:t>
      </w:r>
      <w:r>
        <w:rPr>
          <w:rFonts w:ascii="Calibri" w:hAnsi="Calibri"/>
          <w:color w:val="17212B"/>
        </w:rPr>
        <w:t>ten structured families spanning identity, device, merchant, network, bot, and payment behavior.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Simulation fidelity - </w:t>
      </w:r>
      <w:r>
        <w:rPr>
          <w:rFonts w:ascii="Calibri" w:hAnsi="Calibri"/>
          <w:color w:val="17212B"/>
        </w:rPr>
        <w:t>seeded, constrained transactions with provenance, time order, fictional entities, and explicit synthetic labels.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Detection efficacy - </w:t>
      </w:r>
      <w:r>
        <w:rPr>
          <w:rFonts w:ascii="Calibri" w:hAnsi="Calibri"/>
          <w:color w:val="17212B"/>
        </w:rPr>
        <w:t>precision, recall, F1, false-positive rate, confusion matrix, reason codes, and latency.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Novelty - </w:t>
      </w:r>
      <w:r>
        <w:rPr>
          <w:rFonts w:ascii="Calibri" w:hAnsi="Calibri"/>
          <w:color w:val="17212B"/>
        </w:rPr>
        <w:t>an attack-family holdout and a safe fallback comparison create measurable evidence of generalization.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Live-payment feasibility - </w:t>
      </w:r>
      <w:r>
        <w:rPr>
          <w:rFonts w:ascii="Calibri" w:hAnsi="Calibri"/>
          <w:color w:val="17212B"/>
        </w:rPr>
        <w:t>a dependency-light synchronous API keeps generative AI outside the authorization path.</w:t>
      </w:r>
    </w:p>
    <w:p>
      <w:pPr>
        <w:pStyle w:val="Heading2"/>
      </w:pPr>
      <w:r>
        <w:t>Architecture decision</w:t>
      </w:r>
    </w:p>
    <w:p>
      <w:r>
        <w:t>The planning brief proposed six services. For the hackathon, the same boundaries are implemented as modules inside one deployable process. This makes the five-minute demo reliable while preserving clean extraction points for a Python model service, Redis, PostgreSQL, and event streaming.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1500"/>
        <w:gridCol w:w="3500"/>
        <w:gridCol w:w="4360"/>
      </w:tblGrid>
      <w:tr>
        <w:trPr>
          <w:tblHeader w:val="1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Path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Components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Offline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Scenario registry, generator, training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Discover and harden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Nearline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Evaluation, feedback, drift candidates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Measure and learn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Real-time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Features, model adapter, rules, policy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Score and decide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1597A5"/>
          <w:sz w:val="19"/>
        </w:rPr>
        <w:t>STEP 01</w:t>
      </w:r>
    </w:p>
    <w:p>
      <w:pPr>
        <w:pStyle w:val="Heading1"/>
      </w:pPr>
      <w:r>
        <w:t>Identify: build a defensible attack landscape</w:t>
      </w:r>
    </w:p>
    <w:p>
      <w:pPr>
        <w:spacing w:after="240"/>
      </w:pPr>
      <w:r>
        <w:rPr>
          <w:rFonts w:ascii="Calibri" w:hAnsi="Calibri"/>
          <w:i/>
          <w:color w:val="667085"/>
          <w:sz w:val="23"/>
        </w:rPr>
        <w:t>The red team is a research and simulation layer, not a mechanism for interacting with victims or live payment rails.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1400"/>
        <w:gridCol w:w="3000"/>
        <w:gridCol w:w="4960"/>
      </w:tblGrid>
      <w:tr>
        <w:trPr>
          <w:tblHeader w:val="1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Attack family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Observable defensive signals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ATO_001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Account takeover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New device, velocity, location shift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CNP_001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Card-not-present burst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Remote payment, device novelty, amount deviation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MULE_001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Mule network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Shared entity, new payee, velocity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BOT_001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Bot card testing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Small bursts, repeated attempts, velocity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REFUND_001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Refund abuse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Merchant risk, clustering, amount shift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UPI_001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Urgent instant-payment scam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New payee, unusual time, amount shift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SYNID_001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Synthetic identity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New account, inconsistent identity, velocity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LAUNDER_001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Transaction layering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Split/merge behavior, graph density, new payee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PROMO_001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Promotion abuse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Shared device, new accounts, small bursts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FRIENDLY_001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Friendly fraud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Stable device, amount anomaly, merchant context</w:t>
            </w:r>
          </w:p>
        </w:tc>
      </w:tr>
    </w:tbl>
    <w:p>
      <w:pPr>
        <w:pStyle w:val="Heading2"/>
      </w:pPr>
      <w:r>
        <w:t>Scenario governance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Every scenario has a stable ID, version, severity, feature coverage, and simulation-ready state.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Mutation is limited to safe attributes such as timing, amount distribution, device novelty, geography, merchant context, and relationship patterns.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Every generated dataset records its scenario version and seed so results can be reproduced.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Human review is required before a proposed scenario enters the approved registry.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9B1C1C"/>
          <w:left w:val="single" w:sz="8" w:color="9B1C1C"/>
          <w:bottom w:val="single" w:sz="8" w:color="9B1C1C"/>
          <w:right w:val="single" w:sz="8" w:color="9B1C1C"/>
          <w:insideH w:val="single" w:sz="8" w:color="9B1C1C"/>
          <w:insideV w:val="single" w:sz="8" w:color="9B1C1C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FE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Responsible-use boundary: </w:t>
            </w:r>
            <w:r>
              <w:rPr>
                <w:rFonts w:ascii="Calibri" w:hAnsi="Calibri"/>
                <w:color w:val="17212B"/>
                <w:sz w:val="21"/>
              </w:rPr>
              <w:t>No real card numbers, CVVs, credentials, customer PII, phishing delivery, or unauthorized transaction execution is used or produced.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1597A5"/>
          <w:sz w:val="19"/>
        </w:rPr>
        <w:t>STEP 02</w:t>
      </w:r>
    </w:p>
    <w:p>
      <w:pPr>
        <w:pStyle w:val="Heading1"/>
      </w:pPr>
      <w:r>
        <w:t>Generate: create a traceable synthetic dataset</w:t>
      </w:r>
    </w:p>
    <w:p>
      <w:pPr>
        <w:spacing w:after="240"/>
      </w:pPr>
      <w:r>
        <w:rPr>
          <w:rFonts w:ascii="Calibri" w:hAnsi="Calibri"/>
          <w:i/>
          <w:color w:val="667085"/>
          <w:sz w:val="23"/>
        </w:rPr>
        <w:t>Because the challenge supplies no dataset, simulation quality is part of the product and must be audited like a model.</w:t>
      </w:r>
    </w:p>
    <w:p>
      <w:pPr>
        <w:pStyle w:val="Heading2"/>
      </w:pPr>
      <w:r>
        <w:t>Current dataset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2200"/>
        <w:gridCol w:w="7160"/>
      </w:tblGrid>
      <w:tr>
        <w:trPr>
          <w:tblHeader w:val="1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Property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Implementation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Size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9,000 training/validation/test feature rows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Coverage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Nine training attack families; LAUNDER_001 excluded as holdout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Class balance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Approximately 25% fraud per scenario for the current controlled benchmark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Reproducibility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Fixed seeds, generator version, feature version, and scenario provenance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Privacy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All identifiers and events are fictional; rows are marked synthetic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Storage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Runtime JSONL is ignored by Git; only the small model artifact is committed</w:t>
            </w:r>
          </w:p>
        </w:tc>
      </w:tr>
    </w:tbl>
    <w:p>
      <w:pPr>
        <w:pStyle w:val="Heading2"/>
      </w:pPr>
      <w:r>
        <w:t>Generation sequence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1. </w:t>
      </w:r>
      <w:r>
        <w:rPr>
          <w:rFonts w:ascii="Calibri" w:hAnsi="Calibri"/>
          <w:color w:val="17212B"/>
        </w:rPr>
        <w:t>Select an approved scenario and fixed seed.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2. </w:t>
      </w:r>
      <w:r>
        <w:rPr>
          <w:rFonts w:ascii="Calibri" w:hAnsi="Calibri"/>
          <w:color w:val="17212B"/>
        </w:rPr>
        <w:t>Generate baseline legitimate behavior across customers, merchants, devices, amounts, channels, and time.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3. </w:t>
      </w:r>
      <w:r>
        <w:rPr>
          <w:rFonts w:ascii="Calibri" w:hAnsi="Calibri"/>
          <w:color w:val="17212B"/>
        </w:rPr>
        <w:t>Condition fraud rows on the scenario's observable signals.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4. </w:t>
      </w:r>
      <w:r>
        <w:rPr>
          <w:rFonts w:ascii="Calibri" w:hAnsi="Calibri"/>
          <w:color w:val="17212B"/>
        </w:rPr>
        <w:t>Process transactions in timestamp order through the production FeatureEngine.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5. </w:t>
      </w:r>
      <w:r>
        <w:rPr>
          <w:rFonts w:ascii="Calibri" w:hAnsi="Calibri"/>
          <w:color w:val="17212B"/>
        </w:rPr>
        <w:t>Hash customer/scenario entities into leakage-safe train, validation, and test partitions.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6. </w:t>
      </w:r>
      <w:r>
        <w:rPr>
          <w:rFonts w:ascii="Calibri" w:hAnsi="Calibri"/>
          <w:color w:val="17212B"/>
        </w:rPr>
        <w:t>Write labels, provenance, feature version, and holdout metadata.</w:t>
      </w:r>
    </w:p>
    <w:p>
      <w:pPr>
        <w:pStyle w:val="Heading2"/>
      </w:pPr>
      <w:r>
        <w:t>Fidelity controls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Implemented - </w:t>
      </w:r>
      <w:r>
        <w:rPr>
          <w:rFonts w:ascii="Calibri" w:hAnsi="Calibri"/>
          <w:color w:val="17212B"/>
        </w:rPr>
        <w:t>12 automated gates covering deterministic replay, schema, class rates, hard-negative coverage, amount overlap, correlation, feature ranges, and privacy.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Next - </w:t>
      </w:r>
      <w:r>
        <w:rPr>
          <w:rFonts w:ascii="Calibri" w:hAnsi="Calibri"/>
          <w:color w:val="17212B"/>
        </w:rPr>
        <w:t>comparison with an authorized aggregate reference distribution, sequence similarity, and graph-structure reports.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7A5A00"/>
          <w:left w:val="single" w:sz="8" w:color="7A5A00"/>
          <w:bottom w:val="single" w:sz="8" w:color="7A5A00"/>
          <w:right w:val="single" w:sz="8" w:color="7A5A00"/>
          <w:insideH w:val="single" w:sz="8" w:color="7A5A00"/>
          <w:insideV w:val="single" w:sz="8" w:color="7A5A00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Honest limitation: </w:t>
            </w:r>
            <w:r>
              <w:rPr>
                <w:rFonts w:ascii="Calibri" w:hAnsi="Calibri"/>
                <w:color w:val="17212B"/>
                <w:sz w:val="21"/>
              </w:rPr>
              <w:t>The fidelity suite validates generator consistency and controlled class overlap. Without an authorized production reference, it cannot prove production realism.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1597A5"/>
          <w:sz w:val="19"/>
        </w:rPr>
        <w:t>STEP 03</w:t>
      </w:r>
    </w:p>
    <w:p>
      <w:pPr>
        <w:pStyle w:val="Heading1"/>
      </w:pPr>
      <w:r>
        <w:t>Feature engineering: represent behavior consistently</w:t>
      </w:r>
    </w:p>
    <w:p>
      <w:pPr>
        <w:spacing w:after="240"/>
      </w:pPr>
      <w:r>
        <w:rPr>
          <w:rFonts w:ascii="Calibri" w:hAnsi="Calibri"/>
          <w:i/>
          <w:color w:val="667085"/>
          <w:sz w:val="23"/>
        </w:rPr>
        <w:t>Training and inference call the same stateful feature module to reduce training-serving skew.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2400"/>
        <w:gridCol w:w="5260"/>
        <w:gridCol w:w="1700"/>
      </w:tblGrid>
      <w:tr>
        <w:trPr>
          <w:tblHeader w:val="1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Feature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Meaning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Domain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velocity_1h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Transactions observed for the customer in the prior hour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Velocity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amount_deviation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Distance from the customer's prior average amount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Behavior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new_device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Device not observed in prior customer history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Device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shared_device_count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Customers associated with the device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Graph proxy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location_shift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Country differs from current home-country assumption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Context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new_payee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Payment introduces a new recipient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Payment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card_not_present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Remote/e-commerce transaction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Channel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unusual_hour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Event falls in a configured high-risk UTC window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Time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new_account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Account age is below 30 days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Account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identity_mismatch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Synthetic identity attributes are inconsistent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Identity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merchant_risk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Normalized merchant-risk context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Merchant</w:t>
            </w:r>
          </w:p>
        </w:tc>
      </w:tr>
    </w:tbl>
    <w:p>
      <w:pPr>
        <w:pStyle w:val="Heading2"/>
      </w:pPr>
      <w:r>
        <w:t>Parity rules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Process events in timestamp order.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Version the feature schema independently from the model.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Log the feature version with every decision.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Treat stateful history and device relationships as part of the scoring contract.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1597A5"/>
          <w:sz w:val="19"/>
        </w:rPr>
        <w:t>STEP 04</w:t>
      </w:r>
    </w:p>
    <w:p>
      <w:pPr>
        <w:pStyle w:val="Heading1"/>
      </w:pPr>
      <w:r>
        <w:t>Defend: train an explainable model and safe policy</w:t>
      </w:r>
    </w:p>
    <w:p>
      <w:pPr>
        <w:spacing w:after="240"/>
      </w:pPr>
      <w:r>
        <w:rPr>
          <w:rFonts w:ascii="Calibri" w:hAnsi="Calibri"/>
          <w:i/>
          <w:color w:val="667085"/>
          <w:sz w:val="23"/>
        </w:rPr>
        <w:t>The first trained benchmark is intentionally simple, inspectable, and inexpensive to serve.</w:t>
      </w:r>
    </w:p>
    <w:p>
      <w:pPr>
        <w:pStyle w:val="Heading2"/>
      </w:pPr>
      <w:r>
        <w:t>Why logistic regression first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Transparent coefficients make the benchmark easy to inspect and challenge.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A small JSON artifact supports dependency-free inference in the Node service.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Deterministic training creates a stable baseline for later LightGBM/XGBoost experiments.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If the artifact is missing or invalid, the system continues with transparent rule scoring.</w:t>
      </w:r>
    </w:p>
    <w:p>
      <w:pPr>
        <w:pStyle w:val="Heading2"/>
      </w:pPr>
      <w:r>
        <w:t>Training flow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1. </w:t>
      </w:r>
      <w:r>
        <w:rPr>
          <w:rFonts w:ascii="Calibri" w:hAnsi="Calibri"/>
          <w:color w:val="17212B"/>
        </w:rPr>
        <w:t>Load versioned feature rows.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2. </w:t>
      </w:r>
      <w:r>
        <w:rPr>
          <w:rFonts w:ascii="Calibri" w:hAnsi="Calibri"/>
          <w:color w:val="17212B"/>
        </w:rPr>
        <w:t>Calculate means and standard deviations using training rows only.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3. </w:t>
      </w:r>
      <w:r>
        <w:rPr>
          <w:rFonts w:ascii="Calibri" w:hAnsi="Calibri"/>
          <w:color w:val="17212B"/>
        </w:rPr>
        <w:t>Balance fraud and legitimate examples.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4. </w:t>
      </w:r>
      <w:r>
        <w:rPr>
          <w:rFonts w:ascii="Calibri" w:hAnsi="Calibri"/>
          <w:color w:val="17212B"/>
        </w:rPr>
        <w:t>Train regularized logistic regression with deterministic gradient descent.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5. </w:t>
      </w:r>
      <w:r>
        <w:rPr>
          <w:rFonts w:ascii="Calibri" w:hAnsi="Calibri"/>
          <w:color w:val="17212B"/>
        </w:rPr>
        <w:t>Select a validation threshold under a false-positive constraint.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6. </w:t>
      </w:r>
      <w:r>
        <w:rPr>
          <w:rFonts w:ascii="Calibri" w:hAnsi="Calibri"/>
          <w:color w:val="17212B"/>
        </w:rPr>
        <w:t>Evaluate the untouched test set and save a locked artifact.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2900"/>
        <w:gridCol w:w="6460"/>
      </w:tblGrid>
      <w:tr>
        <w:trPr>
          <w:tblHeader w:val="1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Artifact field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Value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Model version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fg-linear-ad2919e91e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Model type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logistic_regression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Feature version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features-1.0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Validation threshold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0.57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Training examples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6235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Validation examples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1049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Test examples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1716</w:t>
            </w:r>
          </w:p>
        </w:tc>
      </w:tr>
    </w:tbl>
    <w:p>
      <w:pPr>
        <w:pStyle w:val="Heading2"/>
      </w:pPr>
      <w:r>
        <w:t>Real-time ensemble and policy</w:t>
      </w:r>
    </w:p>
    <w:p>
      <w:r>
        <w:t>The runtime score blends 70% trained fraud probability with 30% transparent rule score. Configurable thresholds map the result to ALLOW, STEP_UP, REVIEW, or BLOCK. Every response records probability, rule score, reason codes, feature/model versions, scoring mode, and latency.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1597A5"/>
          <w:sz w:val="19"/>
        </w:rPr>
        <w:t>STEP 05</w:t>
      </w:r>
    </w:p>
    <w:p>
      <w:pPr>
        <w:pStyle w:val="Heading1"/>
      </w:pPr>
      <w:r>
        <w:t>Evaluate: measure security and customer friction</w:t>
      </w:r>
    </w:p>
    <w:p>
      <w:pPr>
        <w:spacing w:after="240"/>
      </w:pPr>
      <w:r>
        <w:rPr>
          <w:rFonts w:ascii="Calibri" w:hAnsi="Calibri"/>
          <w:i/>
          <w:color w:val="667085"/>
          <w:sz w:val="23"/>
        </w:rPr>
        <w:t>F1 and recall matter, but false positives, explainability, and latency are equally visible in the prototype.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3000"/>
        <w:gridCol w:w="1500"/>
        <w:gridCol w:w="1500"/>
        <w:gridCol w:w="1400"/>
        <w:gridCol w:w="1960"/>
      </w:tblGrid>
      <w:tr>
        <w:trPr>
          <w:tblHeader w:val="1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Evaluation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Precision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Recall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False-positive rate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Entity-aware test split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0.749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0.756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0.752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0.084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Novel holdout ensemble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0.673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0.877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0.762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0.138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Novel holdout safe fallback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0.766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0.590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0.667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0.058</w:t>
            </w:r>
          </w:p>
        </w:tc>
      </w:tr>
    </w:tbl>
    <w:p>
      <w:pPr>
        <w:pStyle w:val="Heading2"/>
      </w:pPr>
      <w:r>
        <w:t>How to read the result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Test split - </w:t>
      </w:r>
      <w:r>
        <w:rPr>
          <w:rFonts w:ascii="Calibri" w:hAnsi="Calibri"/>
          <w:color w:val="17212B"/>
        </w:rPr>
        <w:t>measures held-out customers within the nine known attack families.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Novel holdout - </w:t>
      </w:r>
      <w:r>
        <w:rPr>
          <w:rFonts w:ascii="Calibri" w:hAnsi="Calibri"/>
          <w:color w:val="17212B"/>
        </w:rPr>
        <w:t>uses LAUNDER_001, which is absent from the training dataset.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Fallback - </w:t>
      </w:r>
      <w:r>
        <w:rPr>
          <w:rFonts w:ascii="Calibri" w:hAnsi="Calibri"/>
          <w:color w:val="17212B"/>
        </w:rPr>
        <w:t>shows the deterministic rules-only result if the model cannot be used.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Lift - </w:t>
      </w:r>
      <w:r>
        <w:rPr>
          <w:rFonts w:ascii="Calibri" w:hAnsi="Calibri"/>
          <w:color w:val="17212B"/>
        </w:rPr>
        <w:t>shows whether the trained ensemble improves the unseen-family defense and at what false-positive cost.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7A5A00"/>
          <w:left w:val="single" w:sz="8" w:color="7A5A00"/>
          <w:bottom w:val="single" w:sz="8" w:color="7A5A00"/>
          <w:right w:val="single" w:sz="8" w:color="7A5A00"/>
          <w:insideH w:val="single" w:sz="8" w:color="7A5A00"/>
          <w:insideV w:val="single" w:sz="8" w:color="7A5A00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Metric caution: </w:t>
            </w:r>
            <w:r>
              <w:rPr>
                <w:rFonts w:ascii="Calibri" w:hAnsi="Calibri"/>
                <w:color w:val="17212B"/>
                <w:sz w:val="21"/>
              </w:rPr>
              <w:t>Hard negatives reduce synthetic separability and expose the security/customer-friction tradeoff. These values remain prototype evidence, not production claims.</w:t>
            </w:r>
          </w:p>
        </w:tc>
      </w:tr>
    </w:tbl>
    <w:p>
      <w:pPr>
        <w:spacing w:after="0"/>
      </w:pPr>
    </w:p>
    <w:p>
      <w:pPr>
        <w:pStyle w:val="Heading2"/>
      </w:pPr>
      <w:r>
        <w:t>Prototype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664"/>
            <wp:docPr id="1" name="FraudGuard 360 holdout evaluation dashboard" descr="Dashboard showing a novel holdout evaluation, red team scenario controls, blue team metrics, and explainable decision strea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hold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/>
          <w:i/>
          <w:color w:val="667085"/>
          <w:sz w:val="18"/>
        </w:rPr>
        <w:t>Figure 1. Interactive holdout comparison and explainable transaction decisions.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1597A5"/>
          <w:sz w:val="19"/>
        </w:rPr>
        <w:t>STEP 06</w:t>
      </w:r>
    </w:p>
    <w:p>
      <w:pPr>
        <w:pStyle w:val="Heading1"/>
      </w:pPr>
      <w:r>
        <w:t>Learn: turn gaps into reviewed hardening work</w:t>
      </w:r>
    </w:p>
    <w:p>
      <w:pPr>
        <w:spacing w:after="240"/>
      </w:pPr>
      <w:r>
        <w:rPr>
          <w:rFonts w:ascii="Calibri" w:hAnsi="Calibri"/>
          <w:i/>
          <w:color w:val="667085"/>
          <w:sz w:val="23"/>
        </w:rPr>
        <w:t>The feedback loop creates candidates for improvement; it never silently updates the live model.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2900"/>
        <w:gridCol w:w="2100"/>
        <w:gridCol w:w="4360"/>
      </w:tblGrid>
      <w:tr>
        <w:trPr>
          <w:tblHeader w:val="1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Input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Classification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Controlled next action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Predicted FRAUD, actual LEGITIMATE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False positive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Create benign hard negative; review threshold impact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Predicted LEGITIMATE, actual FRAUD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False negative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Seed safe defense-guided mutation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Prediction matches outcome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Correct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Retain for monitoring and calibration</w:t>
            </w:r>
          </w:p>
        </w:tc>
      </w:tr>
    </w:tbl>
    <w:p>
      <w:pPr>
        <w:pStyle w:val="Heading2"/>
      </w:pPr>
      <w:r>
        <w:t>Defense-guided mutation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1. </w:t>
      </w:r>
      <w:r>
        <w:rPr>
          <w:rFonts w:ascii="Calibri" w:hAnsi="Calibri"/>
          <w:color w:val="17212B"/>
        </w:rPr>
        <w:t>Replay the unseen scenario and select actual false negatives.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2. </w:t>
      </w:r>
      <w:r>
        <w:rPr>
          <w:rFonts w:ascii="Calibri" w:hAnsi="Calibri"/>
          <w:color w:val="17212B"/>
        </w:rPr>
        <w:t>Create traceable amount, payee, device, and merchant-context stress variants.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3. </w:t>
      </w:r>
      <w:r>
        <w:rPr>
          <w:rFonts w:ascii="Calibri" w:hAnsi="Calibri"/>
          <w:color w:val="17212B"/>
        </w:rPr>
        <w:t>Replay each variant through exactly the same feature and decision path.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4. </w:t>
      </w:r>
      <w:r>
        <w:rPr>
          <w:rFonts w:ascii="Calibri" w:hAnsi="Calibri"/>
          <w:color w:val="17212B"/>
        </w:rPr>
        <w:t>Mark the batch HUMAN_REVIEW_REQUIRED; never change the active artifact.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5. </w:t>
      </w:r>
      <w:r>
        <w:rPr>
          <w:rFonts w:ascii="Calibri" w:hAnsi="Calibri"/>
          <w:color w:val="17212B"/>
        </w:rPr>
        <w:t>Next, train an isolated candidate only from approved batches.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6. </w:t>
      </w:r>
      <w:r>
        <w:rPr>
          <w:rFonts w:ascii="Calibri" w:hAnsi="Calibri"/>
          <w:color w:val="17212B"/>
        </w:rPr>
        <w:t>Compare locked metrics before any human-approved promotion.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1597A5"/>
          <w:left w:val="single" w:sz="8" w:color="1597A5"/>
          <w:bottom w:val="single" w:sz="8" w:color="1597A5"/>
          <w:right w:val="single" w:sz="8" w:color="1597A5"/>
          <w:insideH w:val="single" w:sz="8" w:color="1597A5"/>
          <w:insideV w:val="single" w:sz="8" w:color="1597A5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97A5"/>
                <w:sz w:val="21"/>
              </w:rPr>
              <w:t xml:space="preserve">Novelty mechanism: </w:t>
            </w:r>
            <w:r>
              <w:rPr>
                <w:rFonts w:ascii="Calibri" w:hAnsi="Calibri"/>
                <w:color w:val="17212B"/>
                <w:sz w:val="21"/>
              </w:rPr>
              <w:t>The red team does not generate random fraud. It searches the defender's uncertainty and blind spots, then creates traceable, plausible synthetic variants for stress testing.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Real-world Feasibility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1000"/>
        <w:gridCol w:w="2700"/>
        <w:gridCol w:w="5660"/>
      </w:tblGrid>
      <w:tr>
        <w:trPr>
          <w:tblHeader w:val="1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Stage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Deployment mode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Control objective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Offline simulation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Validate diversity, fidelity, model lift, and limitations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Shadow mode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Score authorized live-like traffic without changing approvals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Step-up recommendation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Use medium risk for extra authentication or review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Selective blocking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Block only calibrated high-confidence patterns with rollback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Continuous hardening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Schedule reviewed mutations, retraining, and governance</w:t>
            </w:r>
          </w:p>
        </w:tc>
      </w:tr>
    </w:tbl>
    <w:p>
      <w:pPr>
        <w:pStyle w:val="Heading2"/>
      </w:pPr>
      <w:r>
        <w:t>Why the prototype can evolve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Module boundaries allow feature, model, generator, and monitoring components to split into independent services when scale requires it.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The model adapter can replace the linear artifact with LightGBM/XGBoost or a Python service without changing the score API.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Redis can hold online feature state, PostgreSQL can persist scenarios and feedback, and a queue can carry nearline events.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The hot path remains deterministic, versioned, observable, and independent of generative-model availability.</w:t>
      </w:r>
    </w:p>
    <w:p>
      <w:pPr>
        <w:pStyle w:val="Heading2"/>
      </w:pPr>
      <w:r>
        <w:t>Responsible-use and security controls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Synthetic and authorized test data only.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No real payment credentials or customer PII in the red-team layer.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Every scenario and decision carries provenance and version metadata.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No uncontrolled self-training or automatic model promotion.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Prototype metrics are never presented as production readiness.</w:t>
      </w:r>
    </w:p>
    <w:p>
      <w:r>
        <w:br w:type="page"/>
      </w:r>
    </w:p>
    <w:p>
      <w:pPr>
        <w:pStyle w:val="Heading1"/>
      </w:pPr>
      <w:r>
        <w:t>Five-minute Demonstration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1. </w:t>
      </w:r>
      <w:r>
        <w:rPr>
          <w:rFonts w:ascii="Calibri" w:hAnsi="Calibri"/>
          <w:b/>
          <w:color w:val="17212B"/>
        </w:rPr>
        <w:t xml:space="preserve">0:00-0:35 - Problem. </w:t>
      </w:r>
      <w:r>
        <w:rPr>
          <w:rFonts w:ascii="Calibri" w:hAnsi="Calibri"/>
          <w:color w:val="17212B"/>
        </w:rPr>
        <w:t>Explain why GenAI changes the speed and variety of payment fraud.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2. </w:t>
      </w:r>
      <w:r>
        <w:rPr>
          <w:rFonts w:ascii="Calibri" w:hAnsi="Calibri"/>
          <w:b/>
          <w:color w:val="17212B"/>
        </w:rPr>
        <w:t xml:space="preserve">0:35-1:10 - Identify. </w:t>
      </w:r>
      <w:r>
        <w:rPr>
          <w:rFonts w:ascii="Calibri" w:hAnsi="Calibri"/>
          <w:color w:val="17212B"/>
        </w:rPr>
        <w:t>Show ten attack families and select the unseen layering scenario.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3. </w:t>
      </w:r>
      <w:r>
        <w:rPr>
          <w:rFonts w:ascii="Calibri" w:hAnsi="Calibri"/>
          <w:b/>
          <w:color w:val="17212B"/>
        </w:rPr>
        <w:t xml:space="preserve">1:10-1:55 - Generate. </w:t>
      </w:r>
      <w:r>
        <w:rPr>
          <w:rFonts w:ascii="Calibri" w:hAnsi="Calibri"/>
          <w:color w:val="17212B"/>
        </w:rPr>
        <w:t>Launch a seeded synthetic replay and explain provenance and fidelity controls.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4. </w:t>
      </w:r>
      <w:r>
        <w:rPr>
          <w:rFonts w:ascii="Calibri" w:hAnsi="Calibri"/>
          <w:b/>
          <w:color w:val="17212B"/>
        </w:rPr>
        <w:t xml:space="preserve">1:55-2:50 - Defend. </w:t>
      </w:r>
      <w:r>
        <w:rPr>
          <w:rFonts w:ascii="Calibri" w:hAnsi="Calibri"/>
          <w:color w:val="17212B"/>
        </w:rPr>
        <w:t>Show precision, recall, F1, false positives, decision latency, and reason codes.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5. </w:t>
      </w:r>
      <w:r>
        <w:rPr>
          <w:rFonts w:ascii="Calibri" w:hAnsi="Calibri"/>
          <w:b/>
          <w:color w:val="17212B"/>
        </w:rPr>
        <w:t xml:space="preserve">2:50-3:40 - Learn. </w:t>
      </w:r>
      <w:r>
        <w:rPr>
          <w:rFonts w:ascii="Calibri" w:hAnsi="Calibri"/>
          <w:color w:val="17212B"/>
        </w:rPr>
        <w:t>Generate a governed mutation batch from observed holdout misses.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6. </w:t>
      </w:r>
      <w:r>
        <w:rPr>
          <w:rFonts w:ascii="Calibri" w:hAnsi="Calibri"/>
          <w:b/>
          <w:color w:val="17212B"/>
        </w:rPr>
        <w:t xml:space="preserve">3:40-4:30 - Feasibility. </w:t>
      </w:r>
      <w:r>
        <w:rPr>
          <w:rFonts w:ascii="Calibri" w:hAnsi="Calibri"/>
          <w:color w:val="17212B"/>
        </w:rPr>
        <w:t>Explain deterministic hot path, fallback, staged deployment, and human approval.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7. </w:t>
      </w:r>
      <w:r>
        <w:rPr>
          <w:rFonts w:ascii="Calibri" w:hAnsi="Calibri"/>
          <w:b/>
          <w:color w:val="17212B"/>
        </w:rPr>
        <w:t xml:space="preserve">4:30-5:00 - Close. </w:t>
      </w:r>
      <w:r>
        <w:rPr>
          <w:rFonts w:ascii="Calibri" w:hAnsi="Calibri"/>
          <w:color w:val="17212B"/>
        </w:rPr>
        <w:t>State limitations and the defense-guided mutation roadmap.</w:t>
      </w:r>
    </w:p>
    <w:p>
      <w:pPr>
        <w:pStyle w:val="Heading2"/>
      </w:pPr>
      <w:r>
        <w:t>Implementation roadmap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1200"/>
        <w:gridCol w:w="3300"/>
        <w:gridCol w:w="4860"/>
      </w:tblGrid>
      <w:tr>
        <w:trPr>
          <w:tblHeader w:val="1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Priority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Next deliverable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Evidence of completion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Candidate training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Before/after artifact on approved mutation batches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Reference fidelity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Compare against authorized aggregate distributions when available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Nonlinear model benchmark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LightGBM/XGBoost comparison on locked data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Graph intelligence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Shared-entity and ring-density lift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Observability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Drift test, metrics endpoint, durable audit trail</w:t>
            </w:r>
          </w:p>
        </w:tc>
      </w:tr>
    </w:tbl>
    <w:p>
      <w:pPr>
        <w:pStyle w:val="Heading2"/>
      </w:pPr>
      <w:r>
        <w:t>Submission checklist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Runnable repository covers Identify, Generate, Defend, and Learn.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DOCX explains attacks, generation, detection efficacy, and live-payment feasibility.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Web prototype demonstrates the closed loop with a presentable UI.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All synthetic metrics and limitations are labeled honestly.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Public deployment and links are tested without requiring judge login.</w:t>
      </w:r>
    </w:p>
    <w:p>
      <w:pPr>
        <w:pStyle w:val="Heading2"/>
      </w:pPr>
      <w:r>
        <w:t>Sources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Mastercard Innovation Challenge 2026 private Kaggle overview (accessed 22 August 2026): https://www.kaggle.com/competitions/mastercard-innovation-challenge-2026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Mastercard Innovation Challenge @ GFF 2026 public Luma brief (accessed 22 August 2026): https://luma.com/kyz978xv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FraudGuard 360 repository implementation, model artifact, automated tests, and browser-verified prototype.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User-provided planning documents: FraudGuard 360 Team Work Plan and Mastercard GFF 2026 AI Defense Lab Project Report.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FRAUDGUARD 360  |  MASTERCARD INNOVATION CHALLENGE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FRAUDGUARD 360  |  MASTERCARD INNOVATION CHALLENGE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</w:abstractNum>
  <w:abstractNum w:abstractNumId="10">
    <w:multiLevelType w:val="singleLevel"/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FraudGuard 360 Solution Walkthrough</dc:title>
  <dc:subject>Mastercard Innovation Challenge 2026 - AI Defense Lab for Payment Security</dc:subject>
  <dc:creator>FraudGuard 360 Team</dc:creator>
  <cp:keywords>fraud detection, synthetic data, red team, blue team, payment security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