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40"/>
      </w:pPr>
    </w:p>
    <w:p>
      <w:pPr>
        <w:spacing w:after="280"/>
        <w:jc w:val="center"/>
      </w:pPr>
      <w:r>
        <w:rPr>
          <w:rFonts w:ascii="Calibri" w:hAnsi="Calibri"/>
          <w:b/>
          <w:color w:val="1597A5"/>
          <w:sz w:val="20"/>
        </w:rPr>
        <w:t>AI DEFENSE LAB FOR PAYMENT SECURITY</w:t>
      </w:r>
    </w:p>
    <w:p>
      <w:pPr>
        <w:pStyle w:val="Title"/>
        <w:jc w:val="center"/>
      </w:pPr>
      <w:r>
        <w:t>Auralis Risk</w:t>
      </w:r>
    </w:p>
    <w:p>
      <w:pPr>
        <w:pStyle w:val="Subtitle"/>
        <w:jc w:val="center"/>
      </w:pPr>
      <w:r>
        <w:t>Identify. Generate. Defend. Learn.</w:t>
      </w:r>
    </w:p>
    <w:p>
      <w:pPr>
        <w:spacing w:after="680"/>
        <w:jc w:val="center"/>
      </w:pPr>
      <w:r>
        <w:rPr>
          <w:rFonts w:ascii="Calibri" w:hAnsi="Calibri"/>
          <w:color w:val="667085"/>
          <w:sz w:val="22"/>
        </w:rPr>
        <w:t>Solution Walkthrough | Mastercard Innovation Challenge @ GFF 2026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1597A5"/>
          <w:left w:val="single" w:sz="8" w:color="1597A5"/>
          <w:bottom w:val="single" w:sz="8" w:color="1597A5"/>
          <w:right w:val="single" w:sz="8" w:color="1597A5"/>
          <w:insideH w:val="single" w:sz="8" w:color="1597A5"/>
          <w:insideV w:val="single" w:sz="8" w:color="1597A5"/>
        </w:tblBorders>
      </w:tblPr>
      <w:tblGrid>
        <w:gridCol w:w="9360"/>
      </w:tblGrid>
      <w:tr>
        <w:trPr>
          <w:tblHeader w:val="1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97A5"/>
                <w:sz w:val="21"/>
              </w:rPr>
              <w:t xml:space="preserve">One-line pitch: </w:t>
            </w:r>
            <w:r>
              <w:rPr>
                <w:rFonts w:ascii="Calibri" w:hAnsi="Calibri"/>
                <w:color w:val="17212B"/>
                <w:sz w:val="21"/>
              </w:rPr>
              <w:t>Auralis Risk turns emerging fraud into a governed synthetic moving target so defenders can discover, test, detect, and learn before an attack reaches the payment decision path.</w:t>
            </w:r>
          </w:p>
        </w:tc>
      </w:tr>
    </w:tbl>
    <w:p>
      <w:pPr>
        <w:spacing w:after="0"/>
      </w:pPr>
    </w:p>
    <w:p>
      <w:pPr>
        <w:spacing w:after="440"/>
      </w:pPr>
      <w:r>
        <w:br w:type="page"/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D7DEE8"/>
          <w:left w:val="single" w:sz="4" w:color="D7DEE8"/>
          <w:bottom w:val="single" w:sz="4" w:color="D7DEE8"/>
          <w:right w:val="single" w:sz="4" w:color="D7DEE8"/>
          <w:insideH w:val="single" w:sz="4" w:color="D7DEE8"/>
          <w:insideV w:val="single" w:sz="4" w:color="D7DEE8"/>
        </w:tblBorders>
      </w:tblPr>
      <w:tblGrid>
        <w:gridCol w:w="2300"/>
        <w:gridCol w:w="7060"/>
      </w:tblGrid>
      <w:tr>
        <w:trPr>
          <w:tblHeader w:val="1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Submission artifact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Current prototype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System shape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Modular monolith with offline training and deterministic real-time scoring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Dataset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210,000 traceable synthetic training transactions plus one unseen attack-family holdout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Model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Portable 280-tree XGBoost + transparent rules (auralis-xgb-210k-932b64e9bc)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Safety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Synthetic-only data; human-approved GenAI scenarios; no LLM in the authorization path</w:t>
            </w:r>
          </w:p>
        </w:tc>
      </w:tr>
    </w:tbl>
    <w:p>
      <w:pPr>
        <w:pStyle w:val="Heading1"/>
      </w:pPr>
      <w:r>
        <w:t>Executive Summary</w:t>
      </w:r>
    </w:p>
    <w:p>
      <w:r>
        <w:t>Generative AI makes payment fraud cheaper to vary, faster to scale, and harder for static defenses to anticipate. Auralis Risk answers the competition brief with one measurable closed loop: discover plausible attack families, generate safe synthetic payment behavior, score it through a live-style defense, identify misses and false positives, and route those gaps into reviewed hardening work.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1597A5"/>
          <w:left w:val="single" w:sz="8" w:color="1597A5"/>
          <w:bottom w:val="single" w:sz="8" w:color="1597A5"/>
          <w:right w:val="single" w:sz="8" w:color="1597A5"/>
          <w:insideH w:val="single" w:sz="8" w:color="1597A5"/>
          <w:insideV w:val="single" w:sz="8" w:color="1597A5"/>
        </w:tblBorders>
      </w:tblPr>
      <w:tblGrid>
        <w:gridCol w:w="9360"/>
      </w:tblGrid>
      <w:tr>
        <w:trPr>
          <w:tblHeader w:val="1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97A5"/>
                <w:sz w:val="21"/>
              </w:rPr>
              <w:t xml:space="preserve">Competition fit: </w:t>
            </w:r>
            <w:r>
              <w:rPr>
                <w:rFonts w:ascii="Calibri" w:hAnsi="Calibri"/>
                <w:color w:val="17212B"/>
                <w:sz w:val="21"/>
              </w:rPr>
              <w:t>The challenge provides no dataset. Creating a high-fidelity, versioned simulation dataset is therefore a core deliverable, not a workaround.</w:t>
            </w:r>
          </w:p>
        </w:tc>
      </w:tr>
    </w:tbl>
    <w:p>
      <w:pPr>
        <w:spacing w:after="0"/>
      </w:pPr>
    </w:p>
    <w:p>
      <w:pPr>
        <w:pStyle w:val="Heading2"/>
      </w:pPr>
      <w:r>
        <w:t>What the judges can see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b/>
          <w:color w:val="17212B"/>
        </w:rPr>
        <w:t xml:space="preserve">Attack diversity - </w:t>
      </w:r>
      <w:r>
        <w:rPr>
          <w:rFonts w:ascii="Calibri" w:hAnsi="Calibri"/>
          <w:color w:val="17212B"/>
        </w:rPr>
        <w:t>22 structured families spanning identity, device, merchant, network, bot, and payment behavior.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b/>
          <w:color w:val="17212B"/>
        </w:rPr>
        <w:t xml:space="preserve">Simulation fidelity - </w:t>
      </w:r>
      <w:r>
        <w:rPr>
          <w:rFonts w:ascii="Calibri" w:hAnsi="Calibri"/>
          <w:color w:val="17212B"/>
        </w:rPr>
        <w:t>seeded, constrained transactions with provenance, time order, fictional entities, and explicit synthetic labels.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b/>
          <w:color w:val="17212B"/>
        </w:rPr>
        <w:t xml:space="preserve">Detection efficacy - </w:t>
      </w:r>
      <w:r>
        <w:rPr>
          <w:rFonts w:ascii="Calibri" w:hAnsi="Calibri"/>
          <w:color w:val="17212B"/>
        </w:rPr>
        <w:t>precision, recall, F1, false-positive rate, confusion matrix, reason codes, and latency.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b/>
          <w:color w:val="17212B"/>
        </w:rPr>
        <w:t xml:space="preserve">Novelty - </w:t>
      </w:r>
      <w:r>
        <w:rPr>
          <w:rFonts w:ascii="Calibri" w:hAnsi="Calibri"/>
          <w:color w:val="17212B"/>
        </w:rPr>
        <w:t>a completely excluded attack-family holdout and a linear-baseline comparison create measurable evidence of generalization.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b/>
          <w:color w:val="17212B"/>
        </w:rPr>
        <w:t xml:space="preserve">Live-payment feasibility - </w:t>
      </w:r>
      <w:r>
        <w:rPr>
          <w:rFonts w:ascii="Calibri" w:hAnsi="Calibri"/>
          <w:color w:val="17212B"/>
        </w:rPr>
        <w:t>a dependency-light synchronous API keeps generative AI outside the authorization path.</w:t>
      </w:r>
    </w:p>
    <w:p>
      <w:pPr>
        <w:pStyle w:val="Heading2"/>
      </w:pPr>
      <w:r>
        <w:t>Architecture decision</w:t>
      </w:r>
    </w:p>
    <w:p>
      <w:r>
        <w:t>The planning brief proposed six services. For the hackathon, the same boundaries are implemented as modules inside one deployable process. This makes the five-minute demo reliable while preserving clean extraction points for a Python model service, Redis, PostgreSQL, and event streaming.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D7DEE8"/>
          <w:left w:val="single" w:sz="4" w:color="D7DEE8"/>
          <w:bottom w:val="single" w:sz="4" w:color="D7DEE8"/>
          <w:right w:val="single" w:sz="4" w:color="D7DEE8"/>
          <w:insideH w:val="single" w:sz="4" w:color="D7DEE8"/>
          <w:insideV w:val="single" w:sz="4" w:color="D7DEE8"/>
        </w:tblBorders>
      </w:tblPr>
      <w:tblGrid>
        <w:gridCol w:w="1500"/>
        <w:gridCol w:w="3500"/>
        <w:gridCol w:w="4360"/>
      </w:tblGrid>
      <w:tr>
        <w:trPr>
          <w:tblHeader w:val="1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Path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Components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Purpose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Offline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Scenario registry, generator, training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Discover and harden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Nearline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Evaluation, feedback, drift candidates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Measure and learn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Real-time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Features, model adapter, rules, policy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Score and decide</w:t>
            </w:r>
          </w:p>
        </w:tc>
      </w:tr>
    </w:tbl>
    <w:p>
      <w:pPr>
        <w:spacing w:after="60"/>
      </w:pPr>
      <w:r>
        <w:rPr>
          <w:rFonts w:ascii="Calibri" w:hAnsi="Calibri"/>
          <w:b/>
          <w:color w:val="1597A5"/>
          <w:sz w:val="19"/>
        </w:rPr>
        <w:t>STEP 01</w:t>
      </w:r>
    </w:p>
    <w:p>
      <w:pPr>
        <w:pStyle w:val="Heading1"/>
      </w:pPr>
      <w:r>
        <w:t>Identify: build a defensible attack landscape</w:t>
      </w:r>
    </w:p>
    <w:p>
      <w:pPr>
        <w:spacing w:after="240"/>
      </w:pPr>
      <w:r>
        <w:rPr>
          <w:rFonts w:ascii="Calibri" w:hAnsi="Calibri"/>
          <w:i/>
          <w:color w:val="667085"/>
          <w:sz w:val="23"/>
        </w:rPr>
        <w:t>The red team is a research and simulation layer, not a mechanism for interacting with victims or live payment rails.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D7DEE8"/>
          <w:left w:val="single" w:sz="4" w:color="D7DEE8"/>
          <w:bottom w:val="single" w:sz="4" w:color="D7DEE8"/>
          <w:right w:val="single" w:sz="4" w:color="D7DEE8"/>
          <w:insideH w:val="single" w:sz="4" w:color="D7DEE8"/>
          <w:insideV w:val="single" w:sz="4" w:color="D7DEE8"/>
        </w:tblBorders>
      </w:tblPr>
      <w:tblGrid>
        <w:gridCol w:w="1400"/>
        <w:gridCol w:w="3000"/>
        <w:gridCol w:w="4960"/>
      </w:tblGrid>
      <w:tr>
        <w:trPr>
          <w:tblHeader w:val="1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ID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Attack family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Observable defensive signals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ATO_001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Account takeover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New device, velocity, location shift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CNP_001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Card-not-present burst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Remote payment, device novelty, amount deviation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MULE_001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Mule network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Shared entity, new payee, velocity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BOT_001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Bot card testing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Small bursts, repeated attempts, velocity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REFUND_001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Refund abuse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Merchant risk, clustering, amount shift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UPI_001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Urgent instant-payment scam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New payee, unusual time, amount shift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SYNID_001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Synthetic identity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New account, inconsistent identity, velocity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LAUNDER_001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Transaction layering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Split/merge behavior, graph density, new payee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PROMO_001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Promotion abuse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Shared device, new accounts, small bursts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FRIENDLY_001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Friendly fraud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Stable device, amount anomaly, merchant context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SIMSWAP_001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Recovery-channel takeover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New device, identity mismatch, location shift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TOKEN_001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Token provisioning abuse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Device novelty, shared infrastructure, remote use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QR_001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QR destination substitution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New payee, merchant mismatch, geography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BNPL_001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Cross-provider credit bust-out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New account, velocity, high-value deviation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INVOICE_001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Business payment redirection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New beneficiary, amount shift, merchant context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LOYALTY_001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Loyalty value theft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New device, redemption velocity, small-value bursts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SUBSCRIPTION_001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Synthetic subscription farm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Shared device, remote payment, new accounts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MERCHANT_001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Transaction laundering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Merchant risk, graph density, amount distribution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NFC_001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Contactless proximity relay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Location contradiction, stable device, amount shift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REMIT_001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Remittance corridor abuse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Cross-border paths, new payees, graph density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PAYROLL_001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Payroll redirection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New destination, amount shift, identity mismatch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GIFT_001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Gift-card conversion cascade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Small-value bursts, velocity, merchant risk</w:t>
            </w:r>
          </w:p>
        </w:tc>
      </w:tr>
    </w:tbl>
    <w:p>
      <w:pPr>
        <w:pStyle w:val="Heading2"/>
      </w:pPr>
      <w:r>
        <w:t>Scenario governance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color w:val="17212B"/>
        </w:rPr>
        <w:t>Every scenario has a stable ID, version, severity, feature coverage, and simulation-ready state.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color w:val="17212B"/>
        </w:rPr>
        <w:t>Mutation is limited to safe attributes such as timing, amount distribution, device novelty, geography, merchant context, and relationship patterns.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color w:val="17212B"/>
        </w:rPr>
        <w:t>Every generated dataset records its scenario version and seed so results can be reproduced.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color w:val="17212B"/>
        </w:rPr>
        <w:t>Human review is required before a proposed scenario enters the approved registry.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9B1C1C"/>
          <w:left w:val="single" w:sz="8" w:color="9B1C1C"/>
          <w:bottom w:val="single" w:sz="8" w:color="9B1C1C"/>
          <w:right w:val="single" w:sz="8" w:color="9B1C1C"/>
          <w:insideH w:val="single" w:sz="8" w:color="9B1C1C"/>
          <w:insideV w:val="single" w:sz="8" w:color="9B1C1C"/>
        </w:tblBorders>
      </w:tblPr>
      <w:tblGrid>
        <w:gridCol w:w="9360"/>
      </w:tblGrid>
      <w:tr>
        <w:trPr>
          <w:tblHeader w:val="1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FE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9B1C1C"/>
                <w:sz w:val="21"/>
              </w:rPr>
              <w:t xml:space="preserve">Responsible-use boundary: </w:t>
            </w:r>
            <w:r>
              <w:rPr>
                <w:rFonts w:ascii="Calibri" w:hAnsi="Calibri"/>
                <w:color w:val="17212B"/>
                <w:sz w:val="21"/>
              </w:rPr>
              <w:t>No real card numbers, CVVs, credentials, customer PII, phishing delivery, or unauthorized transaction execution is used or produced.</w:t>
            </w:r>
          </w:p>
        </w:tc>
      </w:tr>
    </w:tbl>
    <w:p>
      <w:pPr>
        <w:spacing w:after="0"/>
      </w:pPr>
    </w:p>
    <w:p>
      <w:pPr>
        <w:pStyle w:val="Heading2"/>
      </w:pPr>
      <w:r>
        <w:t>Governed GenAI threat discovery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color w:val="17212B"/>
        </w:rPr>
        <w:t>An optional Groq-hosted analyst proposes strictly structured, defensive simulation drafts; a labeled local analyst fallback keeps the demo reproducible without an API key.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color w:val="17212B"/>
        </w:rPr>
        <w:t>Every response is schema-validated, safety-filtered, bounded to synthetic parameters, and stored with provider/model provenance.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color w:val="17212B"/>
        </w:rPr>
        <w:t>A new draft starts as PENDING_REVIEW. Simulation remains disabled until a human explicitly approves it; rejected drafts cannot run.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color w:val="17212B"/>
        </w:rPr>
        <w:t>False negatives can seed new reviewed drafts, but neither GenAI nor feedback can train or promote a production model automatically.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1843980"/>
            <wp:docPr id="1" name="Auralis Risk governed GenAI threat review" descr="Threat analyst draft marked pending review, with approval, rejection, and disabled simulation control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ralis-genai-re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43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Calibri" w:hAnsi="Calibri"/>
          <w:i/>
          <w:color w:val="667085"/>
          <w:sz w:val="18"/>
        </w:rPr>
        <w:t>Figure 1. A threat draft cannot generate evidence before human approval.</w:t>
      </w:r>
      <w:r>
        <w:br w:type="page"/>
      </w:r>
    </w:p>
    <w:p>
      <w:pPr>
        <w:spacing w:after="60"/>
      </w:pPr>
      <w:r>
        <w:rPr>
          <w:rFonts w:ascii="Calibri" w:hAnsi="Calibri"/>
          <w:b/>
          <w:color w:val="1597A5"/>
          <w:sz w:val="19"/>
        </w:rPr>
        <w:t>STEP 02</w:t>
      </w:r>
    </w:p>
    <w:p>
      <w:pPr>
        <w:pStyle w:val="Heading1"/>
      </w:pPr>
      <w:r>
        <w:t>Generate: create a traceable synthetic dataset</w:t>
      </w:r>
    </w:p>
    <w:p>
      <w:pPr>
        <w:spacing w:after="240"/>
      </w:pPr>
      <w:r>
        <w:rPr>
          <w:rFonts w:ascii="Calibri" w:hAnsi="Calibri"/>
          <w:i/>
          <w:color w:val="667085"/>
          <w:sz w:val="23"/>
        </w:rPr>
        <w:t>Because the challenge supplies no dataset, simulation quality is part of the product and must be audited like a model.</w:t>
      </w:r>
    </w:p>
    <w:p>
      <w:pPr>
        <w:pStyle w:val="Heading2"/>
      </w:pPr>
      <w:r>
        <w:t>Current dataset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D7DEE8"/>
          <w:left w:val="single" w:sz="4" w:color="D7DEE8"/>
          <w:bottom w:val="single" w:sz="4" w:color="D7DEE8"/>
          <w:right w:val="single" w:sz="4" w:color="D7DEE8"/>
          <w:insideH w:val="single" w:sz="4" w:color="D7DEE8"/>
          <w:insideV w:val="single" w:sz="4" w:color="D7DEE8"/>
        </w:tblBorders>
      </w:tblPr>
      <w:tblGrid>
        <w:gridCol w:w="2200"/>
        <w:gridCol w:w="7160"/>
      </w:tblGrid>
      <w:tr>
        <w:trPr>
          <w:tblHeader w:val="1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Property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Implementation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Size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210,000 training/validation/test feature rows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Coverage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21 training attack families; LAUNDER_001 excluded as holdout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Class balance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Approximately 25% fraud per scenario for the current controlled benchmark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Reproducibility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Fixed seeds, generator version, feature version, and scenario provenance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Privacy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All identifiers and events are fictional; rows are marked synthetic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Storage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The versioned 210,000-row release archive, manifest, model artifact, and evaluation evidence are committed</w:t>
            </w:r>
          </w:p>
        </w:tc>
      </w:tr>
    </w:tbl>
    <w:p>
      <w:pPr>
        <w:pStyle w:val="Heading2"/>
      </w:pPr>
      <w:r>
        <w:t>Generation sequence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1. </w:t>
      </w:r>
      <w:r>
        <w:rPr>
          <w:rFonts w:ascii="Calibri" w:hAnsi="Calibri"/>
          <w:color w:val="17212B"/>
        </w:rPr>
        <w:t>Select an approved scenario and fixed seed.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2. </w:t>
      </w:r>
      <w:r>
        <w:rPr>
          <w:rFonts w:ascii="Calibri" w:hAnsi="Calibri"/>
          <w:color w:val="17212B"/>
        </w:rPr>
        <w:t>Generate baseline legitimate behavior across customers, merchants, devices, amounts, channels, and time.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3. </w:t>
      </w:r>
      <w:r>
        <w:rPr>
          <w:rFonts w:ascii="Calibri" w:hAnsi="Calibri"/>
          <w:color w:val="17212B"/>
        </w:rPr>
        <w:t>Condition fraud rows on the scenario's observable signals.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4. </w:t>
      </w:r>
      <w:r>
        <w:rPr>
          <w:rFonts w:ascii="Calibri" w:hAnsi="Calibri"/>
          <w:color w:val="17212B"/>
        </w:rPr>
        <w:t>Process transactions in timestamp order through the production FeatureEngine.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5. </w:t>
      </w:r>
      <w:r>
        <w:rPr>
          <w:rFonts w:ascii="Calibri" w:hAnsi="Calibri"/>
          <w:color w:val="17212B"/>
        </w:rPr>
        <w:t>Hash customer/scenario entities into leakage-safe train, validation, and test partitions.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6. </w:t>
      </w:r>
      <w:r>
        <w:rPr>
          <w:rFonts w:ascii="Calibri" w:hAnsi="Calibri"/>
          <w:color w:val="17212B"/>
        </w:rPr>
        <w:t>Write labels, provenance, feature version, and holdout metadata.</w:t>
      </w:r>
    </w:p>
    <w:p>
      <w:pPr>
        <w:pStyle w:val="Heading2"/>
      </w:pPr>
      <w:r>
        <w:t>Fidelity controls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b/>
          <w:color w:val="17212B"/>
        </w:rPr>
        <w:t xml:space="preserve">Implemented - </w:t>
      </w:r>
      <w:r>
        <w:rPr>
          <w:rFonts w:ascii="Calibri" w:hAnsi="Calibri"/>
          <w:color w:val="17212B"/>
        </w:rPr>
        <w:t>12 automated gates covering deterministic replay, schema, class rates, hard-negative coverage, amount overlap, correlation, feature ranges, and privacy.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b/>
          <w:color w:val="17212B"/>
        </w:rPr>
        <w:t xml:space="preserve">Next - </w:t>
      </w:r>
      <w:r>
        <w:rPr>
          <w:rFonts w:ascii="Calibri" w:hAnsi="Calibri"/>
          <w:color w:val="17212B"/>
        </w:rPr>
        <w:t>comparison with an authorized aggregate reference distribution, sequence similarity, and graph-structure reports.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7A5A00"/>
          <w:left w:val="single" w:sz="8" w:color="7A5A00"/>
          <w:bottom w:val="single" w:sz="8" w:color="7A5A00"/>
          <w:right w:val="single" w:sz="8" w:color="7A5A00"/>
          <w:insideH w:val="single" w:sz="8" w:color="7A5A00"/>
          <w:insideV w:val="single" w:sz="8" w:color="7A5A00"/>
        </w:tblBorders>
      </w:tblPr>
      <w:tblGrid>
        <w:gridCol w:w="9360"/>
      </w:tblGrid>
      <w:tr>
        <w:trPr>
          <w:tblHeader w:val="1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7A5A00"/>
                <w:sz w:val="21"/>
              </w:rPr>
              <w:t xml:space="preserve">Honest limitation: </w:t>
            </w:r>
            <w:r>
              <w:rPr>
                <w:rFonts w:ascii="Calibri" w:hAnsi="Calibri"/>
                <w:color w:val="17212B"/>
                <w:sz w:val="21"/>
              </w:rPr>
              <w:t>The fidelity suite validates generator consistency and controlled class overlap. Without an authorized production reference, it cannot prove production realism.</w:t>
            </w:r>
          </w:p>
        </w:tc>
      </w:tr>
    </w:tbl>
    <w:p>
      <w:pPr>
        <w:spacing w:after="0"/>
      </w:pPr>
      <w:r>
        <w:br w:type="page"/>
      </w:r>
    </w:p>
    <w:p>
      <w:pPr>
        <w:spacing w:after="60"/>
      </w:pPr>
      <w:r>
        <w:rPr>
          <w:rFonts w:ascii="Calibri" w:hAnsi="Calibri"/>
          <w:b/>
          <w:color w:val="1597A5"/>
          <w:sz w:val="19"/>
        </w:rPr>
        <w:t>STEP 03</w:t>
      </w:r>
    </w:p>
    <w:p>
      <w:pPr>
        <w:pStyle w:val="Heading1"/>
      </w:pPr>
      <w:r>
        <w:t>Feature engineering: represent behavior consistently</w:t>
      </w:r>
    </w:p>
    <w:p>
      <w:pPr>
        <w:spacing w:after="240"/>
      </w:pPr>
      <w:r>
        <w:rPr>
          <w:rFonts w:ascii="Calibri" w:hAnsi="Calibri"/>
          <w:i/>
          <w:color w:val="667085"/>
          <w:sz w:val="23"/>
        </w:rPr>
        <w:t>Training and inference call the same stateful feature module to reduce training-serving skew.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D7DEE8"/>
          <w:left w:val="single" w:sz="4" w:color="D7DEE8"/>
          <w:bottom w:val="single" w:sz="4" w:color="D7DEE8"/>
          <w:right w:val="single" w:sz="4" w:color="D7DEE8"/>
          <w:insideH w:val="single" w:sz="4" w:color="D7DEE8"/>
          <w:insideV w:val="single" w:sz="4" w:color="D7DEE8"/>
        </w:tblBorders>
      </w:tblPr>
      <w:tblGrid>
        <w:gridCol w:w="2400"/>
        <w:gridCol w:w="5260"/>
        <w:gridCol w:w="1700"/>
      </w:tblGrid>
      <w:tr>
        <w:trPr>
          <w:tblHeader w:val="1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Feature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Meaning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Domain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7"/>
              </w:rPr>
              <w:t>velocity_1h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7"/>
              </w:rPr>
              <w:t>Transactions observed for the customer in the prior hour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7"/>
              </w:rPr>
              <w:t>Velocity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7"/>
              </w:rPr>
              <w:t>amount_deviation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7"/>
              </w:rPr>
              <w:t>Distance from the customer's prior average amount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7"/>
              </w:rPr>
              <w:t>Behavior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7"/>
              </w:rPr>
              <w:t>new_device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7"/>
              </w:rPr>
              <w:t>Device not observed in prior customer history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7"/>
              </w:rPr>
              <w:t>Device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7"/>
              </w:rPr>
              <w:t>shared_device_count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7"/>
              </w:rPr>
              <w:t>Customers associated with the device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7"/>
              </w:rPr>
              <w:t>Graph proxy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7"/>
              </w:rPr>
              <w:t>location_shift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7"/>
              </w:rPr>
              <w:t>Country differs from current home-country assumption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7"/>
              </w:rPr>
              <w:t>Context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7"/>
              </w:rPr>
              <w:t>new_payee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7"/>
              </w:rPr>
              <w:t>Payment introduces a new recipient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7"/>
              </w:rPr>
              <w:t>Payment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7"/>
              </w:rPr>
              <w:t>card_not_present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7"/>
              </w:rPr>
              <w:t>Remote/e-commerce transaction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7"/>
              </w:rPr>
              <w:t>Channel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7"/>
              </w:rPr>
              <w:t>unusual_hour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7"/>
              </w:rPr>
              <w:t>Event falls in a configured high-risk UTC window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7"/>
              </w:rPr>
              <w:t>Time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7"/>
              </w:rPr>
              <w:t>new_account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7"/>
              </w:rPr>
              <w:t>Account age is below 30 days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7"/>
              </w:rPr>
              <w:t>Account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7"/>
              </w:rPr>
              <w:t>identity_mismatch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7"/>
              </w:rPr>
              <w:t>Synthetic identity attributes are inconsistent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7"/>
              </w:rPr>
              <w:t>Identity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7"/>
              </w:rPr>
              <w:t>merchant_risk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7"/>
              </w:rPr>
              <w:t>Normalized merchant-risk context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7"/>
              </w:rPr>
              <w:t>Merchant</w:t>
            </w:r>
          </w:p>
        </w:tc>
      </w:tr>
    </w:tbl>
    <w:p>
      <w:pPr>
        <w:pStyle w:val="Heading2"/>
      </w:pPr>
      <w:r>
        <w:t>Parity rules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color w:val="17212B"/>
        </w:rPr>
        <w:t>Process events in timestamp order.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color w:val="17212B"/>
        </w:rPr>
        <w:t>Version the feature schema independently from the model.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color w:val="17212B"/>
        </w:rPr>
        <w:t>Log the feature version with every decision.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color w:val="17212B"/>
        </w:rPr>
        <w:t>Treat stateful history and device relationships as part of the scoring contract.</w:t>
      </w:r>
      <w:r>
        <w:br w:type="page"/>
      </w:r>
    </w:p>
    <w:p>
      <w:pPr>
        <w:spacing w:after="60"/>
      </w:pPr>
      <w:r>
        <w:rPr>
          <w:rFonts w:ascii="Calibri" w:hAnsi="Calibri"/>
          <w:b/>
          <w:color w:val="1597A5"/>
          <w:sz w:val="19"/>
        </w:rPr>
        <w:t>STEP 04</w:t>
      </w:r>
    </w:p>
    <w:p>
      <w:pPr>
        <w:pStyle w:val="Heading1"/>
      </w:pPr>
      <w:r>
        <w:t>Defend: train an explainable model and safe policy</w:t>
      </w:r>
    </w:p>
    <w:p>
      <w:pPr>
        <w:spacing w:after="240"/>
      </w:pPr>
      <w:r>
        <w:rPr>
          <w:rFonts w:ascii="Calibri" w:hAnsi="Calibri"/>
          <w:i/>
          <w:color w:val="667085"/>
          <w:sz w:val="23"/>
        </w:rPr>
        <w:t>A compact nonlinear detector improves recall while remaining inexpensive and reproducible to serve.</w:t>
      </w:r>
    </w:p>
    <w:p>
      <w:pPr>
        <w:pStyle w:val="Heading2"/>
      </w:pPr>
      <w:r>
        <w:t>Why portable XGBoost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color w:val="17212B"/>
        </w:rPr>
        <w:t>Gradient-boosted trees capture nonlinear interactions between velocity, deviation, device, graph, identity, and merchant signals.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color w:val="17212B"/>
        </w:rPr>
        <w:t>A portable JSON artifact supports dependency-light inference in the Node service without a separate Python runtime.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color w:val="17212B"/>
        </w:rPr>
        <w:t>Deterministic training on the locked 210,000-row release makes the comparison against the original linear baseline reproducible.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color w:val="17212B"/>
        </w:rPr>
        <w:t>If the artifact is missing or invalid, the system continues with transparent rule scoring.</w:t>
      </w:r>
    </w:p>
    <w:p>
      <w:pPr>
        <w:pStyle w:val="Heading2"/>
      </w:pPr>
      <w:r>
        <w:t>Training flow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1. </w:t>
      </w:r>
      <w:r>
        <w:rPr>
          <w:rFonts w:ascii="Calibri" w:hAnsi="Calibri"/>
          <w:color w:val="17212B"/>
        </w:rPr>
        <w:t>Load versioned feature rows.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2. </w:t>
      </w:r>
      <w:r>
        <w:rPr>
          <w:rFonts w:ascii="Calibri" w:hAnsi="Calibri"/>
          <w:color w:val="17212B"/>
        </w:rPr>
        <w:t>Preserve customer-entity train, validation, and test partitions to reduce leakage.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3. </w:t>
      </w:r>
      <w:r>
        <w:rPr>
          <w:rFonts w:ascii="Calibri" w:hAnsi="Calibri"/>
          <w:color w:val="17212B"/>
        </w:rPr>
        <w:t>Train a 280-tree XGBoost classifier with fixed seed and controlled class weighting.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4. </w:t>
      </w:r>
      <w:r>
        <w:rPr>
          <w:rFonts w:ascii="Calibri" w:hAnsi="Calibri"/>
          <w:color w:val="17212B"/>
        </w:rPr>
        <w:t>Select a validation threshold under a false-positive constraint.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5. </w:t>
      </w:r>
      <w:r>
        <w:rPr>
          <w:rFonts w:ascii="Calibri" w:hAnsi="Calibri"/>
          <w:color w:val="17212B"/>
        </w:rPr>
        <w:t>Evaluate the untouched test split and the completely excluded LAUNDER_001 family, then save locked artifacts.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D7DEE8"/>
          <w:left w:val="single" w:sz="4" w:color="D7DEE8"/>
          <w:bottom w:val="single" w:sz="4" w:color="D7DEE8"/>
          <w:right w:val="single" w:sz="4" w:color="D7DEE8"/>
          <w:insideH w:val="single" w:sz="4" w:color="D7DEE8"/>
          <w:insideV w:val="single" w:sz="4" w:color="D7DEE8"/>
        </w:tblBorders>
      </w:tblPr>
      <w:tblGrid>
        <w:gridCol w:w="2900"/>
        <w:gridCol w:w="6460"/>
      </w:tblGrid>
      <w:tr>
        <w:trPr>
          <w:tblHeader w:val="1"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Artifact field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Value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Model version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auralis-xgb-210k-932b64e9bc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Model type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xgboost_json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Feature version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features-1.0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Validation threshold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0.405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Training examples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146997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Validation examples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20865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Test examples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9"/>
              </w:rPr>
              <w:t>42138</w:t>
            </w:r>
          </w:p>
        </w:tc>
      </w:tr>
    </w:tbl>
    <w:p>
      <w:pPr>
        <w:pStyle w:val="Heading2"/>
      </w:pPr>
      <w:r>
        <w:t>Real-time ensemble and policy</w:t>
      </w:r>
    </w:p>
    <w:p>
      <w:r>
        <w:t>The runtime score blends 70% trained fraud probability with 30% transparent rule score. Configurable thresholds map the result to ALLOW, STEP_UP, REVIEW, or BLOCK. Every response records probability, rule score, reason codes, feature/model versions, scoring mode, and latency.</w:t>
      </w:r>
    </w:p>
    <w:p>
      <w:pPr>
        <w:spacing w:after="60"/>
      </w:pPr>
      <w:r>
        <w:rPr>
          <w:rFonts w:ascii="Calibri" w:hAnsi="Calibri"/>
          <w:b/>
          <w:color w:val="1597A5"/>
          <w:sz w:val="19"/>
        </w:rPr>
        <w:t>STEP 05</w:t>
      </w:r>
    </w:p>
    <w:p>
      <w:pPr>
        <w:pStyle w:val="Heading1"/>
      </w:pPr>
      <w:r>
        <w:t>Evaluate: measure security and customer friction</w:t>
      </w:r>
    </w:p>
    <w:p>
      <w:pPr>
        <w:spacing w:after="240"/>
      </w:pPr>
      <w:r>
        <w:rPr>
          <w:rFonts w:ascii="Calibri" w:hAnsi="Calibri"/>
          <w:i/>
          <w:color w:val="667085"/>
          <w:sz w:val="23"/>
        </w:rPr>
        <w:t>F1 and recall matter, but false positives, explainability, and latency are equally visible in the prototype.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D7DEE8"/>
          <w:left w:val="single" w:sz="4" w:color="D7DEE8"/>
          <w:bottom w:val="single" w:sz="4" w:color="D7DEE8"/>
          <w:right w:val="single" w:sz="4" w:color="D7DEE8"/>
          <w:insideH w:val="single" w:sz="4" w:color="D7DEE8"/>
          <w:insideV w:val="single" w:sz="4" w:color="D7DEE8"/>
        </w:tblBorders>
      </w:tblPr>
      <w:tblGrid>
        <w:gridCol w:w="3000"/>
        <w:gridCol w:w="1500"/>
        <w:gridCol w:w="1500"/>
        <w:gridCol w:w="1400"/>
        <w:gridCol w:w="1960"/>
      </w:tblGrid>
      <w:tr>
        <w:trPr>
          <w:tblHeader w:val="1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Evaluation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Precision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Recall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F1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False-positive rate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Entity-aware test split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0.785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0.830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0.807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0.076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Excluded LAUNDER_001 holdout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0.764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0.856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0.807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0.085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Original linear test baseline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0.772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0.773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0.773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0.076</w:t>
            </w:r>
          </w:p>
        </w:tc>
      </w:tr>
    </w:tbl>
    <w:p>
      <w:pPr>
        <w:pStyle w:val="Heading2"/>
      </w:pPr>
      <w:r>
        <w:t>How to read the result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b/>
          <w:color w:val="17212B"/>
        </w:rPr>
        <w:t xml:space="preserve">Test split - </w:t>
      </w:r>
      <w:r>
        <w:rPr>
          <w:rFonts w:ascii="Calibri" w:hAnsi="Calibri"/>
          <w:color w:val="17212B"/>
        </w:rPr>
        <w:t>measures held-out customers within the 21 known attack families.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b/>
          <w:color w:val="17212B"/>
        </w:rPr>
        <w:t xml:space="preserve">Novel holdout - </w:t>
      </w:r>
      <w:r>
        <w:rPr>
          <w:rFonts w:ascii="Calibri" w:hAnsi="Calibri"/>
          <w:color w:val="17212B"/>
        </w:rPr>
        <w:t>uses LAUNDER_001, which is absent from the training dataset.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b/>
          <w:color w:val="17212B"/>
        </w:rPr>
        <w:t xml:space="preserve">Holdout - </w:t>
      </w:r>
      <w:r>
        <w:rPr>
          <w:rFonts w:ascii="Calibri" w:hAnsi="Calibri"/>
          <w:color w:val="17212B"/>
        </w:rPr>
        <w:t>measures 10,000 LAUNDER_001 rows from a family completely absent from training.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b/>
          <w:color w:val="17212B"/>
        </w:rPr>
        <w:t xml:space="preserve">Measured lift - </w:t>
      </w:r>
      <w:r>
        <w:rPr>
          <w:rFonts w:ascii="Calibri" w:hAnsi="Calibri"/>
          <w:color w:val="17212B"/>
        </w:rPr>
        <w:t>XGBoost improves test F1 by 3.42 points and recall by 5.70 points over the linear baseline with essentially unchanged false-positive rate.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7A5A00"/>
          <w:left w:val="single" w:sz="8" w:color="7A5A00"/>
          <w:bottom w:val="single" w:sz="8" w:color="7A5A00"/>
          <w:right w:val="single" w:sz="8" w:color="7A5A00"/>
          <w:insideH w:val="single" w:sz="8" w:color="7A5A00"/>
          <w:insideV w:val="single" w:sz="8" w:color="7A5A00"/>
        </w:tblBorders>
      </w:tblPr>
      <w:tblGrid>
        <w:gridCol w:w="9360"/>
      </w:tblGrid>
      <w:tr>
        <w:trPr>
          <w:tblHeader w:val="1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7A5A00"/>
                <w:sz w:val="21"/>
              </w:rPr>
              <w:t xml:space="preserve">Metric caution: </w:t>
            </w:r>
            <w:r>
              <w:rPr>
                <w:rFonts w:ascii="Calibri" w:hAnsi="Calibri"/>
                <w:color w:val="17212B"/>
                <w:sz w:val="21"/>
              </w:rPr>
              <w:t>Hard negatives reduce synthetic separability and expose the security/customer-friction tradeoff. These values remain prototype evidence, not production claims.</w:t>
            </w:r>
          </w:p>
        </w:tc>
      </w:tr>
    </w:tbl>
    <w:p>
      <w:pPr>
        <w:spacing w:after="0"/>
      </w:pPr>
    </w:p>
    <w:p>
      <w:pPr>
        <w:pStyle w:val="Heading2"/>
      </w:pPr>
      <w:r>
        <w:t>Prototype evidence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1143000"/>
            <wp:docPr id="2" name="Auralis Risk holdout evaluation dashboard" descr="Live feature-vector form showing a high-risk classification, fraud probability, risk score, model version, and inference latenc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ralis-xgboost-conso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Calibri" w:hAnsi="Calibri"/>
          <w:i/>
          <w:color w:val="667085"/>
          <w:sz w:val="18"/>
        </w:rPr>
        <w:t>Figure 2. Browser-verified local XGBoost inference with explicit artifact version and latency.</w:t>
      </w:r>
      <w:r>
        <w:br w:type="page"/>
      </w:r>
    </w:p>
    <w:p>
      <w:pPr>
        <w:spacing w:after="60"/>
      </w:pPr>
      <w:r>
        <w:rPr>
          <w:rFonts w:ascii="Calibri" w:hAnsi="Calibri"/>
          <w:b/>
          <w:color w:val="1597A5"/>
          <w:sz w:val="19"/>
        </w:rPr>
        <w:t>STEP 06</w:t>
      </w:r>
    </w:p>
    <w:p>
      <w:pPr>
        <w:pStyle w:val="Heading1"/>
      </w:pPr>
      <w:r>
        <w:t>Learn: turn gaps into reviewed hardening work</w:t>
      </w:r>
    </w:p>
    <w:p>
      <w:pPr>
        <w:spacing w:after="240"/>
      </w:pPr>
      <w:r>
        <w:rPr>
          <w:rFonts w:ascii="Calibri" w:hAnsi="Calibri"/>
          <w:i/>
          <w:color w:val="667085"/>
          <w:sz w:val="23"/>
        </w:rPr>
        <w:t>The feedback loop creates candidates for improvement; it never silently updates the live model.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D7DEE8"/>
          <w:left w:val="single" w:sz="4" w:color="D7DEE8"/>
          <w:bottom w:val="single" w:sz="4" w:color="D7DEE8"/>
          <w:right w:val="single" w:sz="4" w:color="D7DEE8"/>
          <w:insideH w:val="single" w:sz="4" w:color="D7DEE8"/>
          <w:insideV w:val="single" w:sz="4" w:color="D7DEE8"/>
        </w:tblBorders>
      </w:tblPr>
      <w:tblGrid>
        <w:gridCol w:w="2900"/>
        <w:gridCol w:w="2100"/>
        <w:gridCol w:w="4360"/>
      </w:tblGrid>
      <w:tr>
        <w:trPr>
          <w:tblHeader w:val="1"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Input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Classification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Controlled next action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Predicted FRAUD, actual LEGITIMATE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False positive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Create benign hard negative; review threshold impact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Predicted LEGITIMATE, actual FRAUD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False negative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Seed safe defense-guided mutation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Prediction matches outcome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Correct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Retain for monitoring and calibration</w:t>
            </w:r>
          </w:p>
        </w:tc>
      </w:tr>
    </w:tbl>
    <w:p>
      <w:pPr>
        <w:pStyle w:val="Heading2"/>
      </w:pPr>
      <w:r>
        <w:t>Defense-guided mutation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1. </w:t>
      </w:r>
      <w:r>
        <w:rPr>
          <w:rFonts w:ascii="Calibri" w:hAnsi="Calibri"/>
          <w:color w:val="17212B"/>
        </w:rPr>
        <w:t>Replay the unseen scenario and select actual false negatives.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2. </w:t>
      </w:r>
      <w:r>
        <w:rPr>
          <w:rFonts w:ascii="Calibri" w:hAnsi="Calibri"/>
          <w:color w:val="17212B"/>
        </w:rPr>
        <w:t>Create traceable amount, payee, device, and merchant-context stress variants.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3. </w:t>
      </w:r>
      <w:r>
        <w:rPr>
          <w:rFonts w:ascii="Calibri" w:hAnsi="Calibri"/>
          <w:color w:val="17212B"/>
        </w:rPr>
        <w:t>Replay each variant through exactly the same feature and decision path.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4. </w:t>
      </w:r>
      <w:r>
        <w:rPr>
          <w:rFonts w:ascii="Calibri" w:hAnsi="Calibri"/>
          <w:color w:val="17212B"/>
        </w:rPr>
        <w:t>Mark the batch HUMAN_REVIEW_REQUIRED; never change the active artifact.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5. </w:t>
      </w:r>
      <w:r>
        <w:rPr>
          <w:rFonts w:ascii="Calibri" w:hAnsi="Calibri"/>
          <w:color w:val="17212B"/>
        </w:rPr>
        <w:t>Next, train an isolated candidate only from approved batches.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6. </w:t>
      </w:r>
      <w:r>
        <w:rPr>
          <w:rFonts w:ascii="Calibri" w:hAnsi="Calibri"/>
          <w:color w:val="17212B"/>
        </w:rPr>
        <w:t>Compare locked metrics before any human-approved promotion.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1597A5"/>
          <w:left w:val="single" w:sz="8" w:color="1597A5"/>
          <w:bottom w:val="single" w:sz="8" w:color="1597A5"/>
          <w:right w:val="single" w:sz="8" w:color="1597A5"/>
          <w:insideH w:val="single" w:sz="8" w:color="1597A5"/>
          <w:insideV w:val="single" w:sz="8" w:color="1597A5"/>
        </w:tblBorders>
      </w:tblPr>
      <w:tblGrid>
        <w:gridCol w:w="9360"/>
      </w:tblGrid>
      <w:tr>
        <w:trPr>
          <w:tblHeader w:val="1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97A5"/>
                <w:sz w:val="21"/>
              </w:rPr>
              <w:t xml:space="preserve">Novelty mechanism: </w:t>
            </w:r>
            <w:r>
              <w:rPr>
                <w:rFonts w:ascii="Calibri" w:hAnsi="Calibri"/>
                <w:color w:val="17212B"/>
                <w:sz w:val="21"/>
              </w:rPr>
              <w:t>The red team does not generate random fraud. It searches the defender's uncertainty and blind spots, then creates traceable, plausible synthetic variants for stress testing.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</w:pPr>
      <w:r>
        <w:t>Real-world Feasibility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D7DEE8"/>
          <w:left w:val="single" w:sz="4" w:color="D7DEE8"/>
          <w:bottom w:val="single" w:sz="4" w:color="D7DEE8"/>
          <w:right w:val="single" w:sz="4" w:color="D7DEE8"/>
          <w:insideH w:val="single" w:sz="4" w:color="D7DEE8"/>
          <w:insideV w:val="single" w:sz="4" w:color="D7DEE8"/>
        </w:tblBorders>
      </w:tblPr>
      <w:tblGrid>
        <w:gridCol w:w="1000"/>
        <w:gridCol w:w="2700"/>
        <w:gridCol w:w="5660"/>
      </w:tblGrid>
      <w:tr>
        <w:trPr>
          <w:tblHeader w:val="1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Stage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Deployment mode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Control objective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Offline simulation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Validate diversity, fidelity, model lift, and limitations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2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Shadow mode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Score authorized live-like traffic without changing approvals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Step-up recommendation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Use medium risk for extra authentication or review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4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Selective blocking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Block only calibrated high-confidence patterns with rollback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5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Continuous hardening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Schedule reviewed mutations, retraining, and governance</w:t>
            </w:r>
          </w:p>
        </w:tc>
      </w:tr>
    </w:tbl>
    <w:p>
      <w:pPr>
        <w:pStyle w:val="Heading2"/>
      </w:pPr>
      <w:r>
        <w:t>Why the prototype can evolve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color w:val="17212B"/>
        </w:rPr>
        <w:t>Module boundaries allow feature, model, generator, and monitoring components to split into independent services when scale requires it.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color w:val="17212B"/>
        </w:rPr>
        <w:t>The model adapter now serves the portable XGBoost artifact locally and can later call a separately governed model service without changing the score API.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color w:val="17212B"/>
        </w:rPr>
        <w:t>Redis can hold online feature state, PostgreSQL can persist scenarios and feedback, and a queue can carry nearline events.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color w:val="17212B"/>
        </w:rPr>
        <w:t>The hot path remains deterministic, versioned, observable, and independent of generative-model availability.</w:t>
      </w:r>
    </w:p>
    <w:p>
      <w:pPr>
        <w:pStyle w:val="Heading2"/>
      </w:pPr>
      <w:r>
        <w:t>Responsible-use and security controls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color w:val="17212B"/>
        </w:rPr>
        <w:t>Synthetic and authorized test data only.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color w:val="17212B"/>
        </w:rPr>
        <w:t>No real payment credentials or customer PII in the red-team layer.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color w:val="17212B"/>
        </w:rPr>
        <w:t>Every scenario and decision carries provenance and version metadata.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color w:val="17212B"/>
        </w:rPr>
        <w:t>No uncontrolled self-training or automatic model promotion.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color w:val="17212B"/>
        </w:rPr>
        <w:t>Prototype metrics are never presented as production readiness.</w:t>
      </w:r>
      <w:r>
        <w:br w:type="page"/>
      </w:r>
    </w:p>
    <w:p>
      <w:pPr>
        <w:pStyle w:val="Heading1"/>
      </w:pPr>
      <w:r>
        <w:t>Five-minute Demonstration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1. </w:t>
      </w:r>
      <w:r>
        <w:rPr>
          <w:rFonts w:ascii="Calibri" w:hAnsi="Calibri"/>
          <w:b/>
          <w:color w:val="17212B"/>
        </w:rPr>
        <w:t xml:space="preserve">0:00-0:35 - Problem. </w:t>
      </w:r>
      <w:r>
        <w:rPr>
          <w:rFonts w:ascii="Calibri" w:hAnsi="Calibri"/>
          <w:color w:val="17212B"/>
        </w:rPr>
        <w:t>Explain why GenAI changes the speed and variety of payment fraud.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2. </w:t>
      </w:r>
      <w:r>
        <w:rPr>
          <w:rFonts w:ascii="Calibri" w:hAnsi="Calibri"/>
          <w:b/>
          <w:color w:val="17212B"/>
        </w:rPr>
        <w:t xml:space="preserve">0:35-1:20 - Identify. </w:t>
      </w:r>
      <w:r>
        <w:rPr>
          <w:rFonts w:ascii="Calibri" w:hAnsi="Calibri"/>
          <w:color w:val="17212B"/>
        </w:rPr>
        <w:t>Generate a GenAI threat draft, show the blocked simulation button, approve it, then run the safe synthetic scenario.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3. </w:t>
      </w:r>
      <w:r>
        <w:rPr>
          <w:rFonts w:ascii="Calibri" w:hAnsi="Calibri"/>
          <w:b/>
          <w:color w:val="17212B"/>
        </w:rPr>
        <w:t xml:space="preserve">1:20-2:00 - Generate. </w:t>
      </w:r>
      <w:r>
        <w:rPr>
          <w:rFonts w:ascii="Calibri" w:hAnsi="Calibri"/>
          <w:color w:val="17212B"/>
        </w:rPr>
        <w:t>Launch a seeded replay and explain provenance, 210,000-row lineage, and fidelity controls.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4. </w:t>
      </w:r>
      <w:r>
        <w:rPr>
          <w:rFonts w:ascii="Calibri" w:hAnsi="Calibri"/>
          <w:b/>
          <w:color w:val="17212B"/>
        </w:rPr>
        <w:t xml:space="preserve">2:00-2:55 - Defend. </w:t>
      </w:r>
      <w:r>
        <w:rPr>
          <w:rFonts w:ascii="Calibri" w:hAnsi="Calibri"/>
          <w:color w:val="17212B"/>
        </w:rPr>
        <w:t>Enter a feature vector in the website and show the live XGBoost probability, decision, model version, and latency.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5. </w:t>
      </w:r>
      <w:r>
        <w:rPr>
          <w:rFonts w:ascii="Calibri" w:hAnsi="Calibri"/>
          <w:b/>
          <w:color w:val="17212B"/>
        </w:rPr>
        <w:t xml:space="preserve">2:50-3:40 - Learn. </w:t>
      </w:r>
      <w:r>
        <w:rPr>
          <w:rFonts w:ascii="Calibri" w:hAnsi="Calibri"/>
          <w:color w:val="17212B"/>
        </w:rPr>
        <w:t>Generate a governed mutation batch from observed holdout misses.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6. </w:t>
      </w:r>
      <w:r>
        <w:rPr>
          <w:rFonts w:ascii="Calibri" w:hAnsi="Calibri"/>
          <w:b/>
          <w:color w:val="17212B"/>
        </w:rPr>
        <w:t xml:space="preserve">3:40-4:30 - Feasibility. </w:t>
      </w:r>
      <w:r>
        <w:rPr>
          <w:rFonts w:ascii="Calibri" w:hAnsi="Calibri"/>
          <w:color w:val="17212B"/>
        </w:rPr>
        <w:t>Explain deterministic hot path, fallback, staged deployment, and human approval.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7. </w:t>
      </w:r>
      <w:r>
        <w:rPr>
          <w:rFonts w:ascii="Calibri" w:hAnsi="Calibri"/>
          <w:b/>
          <w:color w:val="17212B"/>
        </w:rPr>
        <w:t xml:space="preserve">4:30-5:00 - Close. </w:t>
      </w:r>
      <w:r>
        <w:rPr>
          <w:rFonts w:ascii="Calibri" w:hAnsi="Calibri"/>
          <w:color w:val="17212B"/>
        </w:rPr>
        <w:t>State limitations and the defense-guided mutation roadmap.</w:t>
      </w:r>
    </w:p>
    <w:p>
      <w:pPr>
        <w:pStyle w:val="Heading2"/>
      </w:pPr>
      <w:r>
        <w:t>Implementation roadmap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D7DEE8"/>
          <w:left w:val="single" w:sz="4" w:color="D7DEE8"/>
          <w:bottom w:val="single" w:sz="4" w:color="D7DEE8"/>
          <w:right w:val="single" w:sz="4" w:color="D7DEE8"/>
          <w:insideH w:val="single" w:sz="4" w:color="D7DEE8"/>
          <w:insideV w:val="single" w:sz="4" w:color="D7DEE8"/>
        </w:tblBorders>
      </w:tblPr>
      <w:tblGrid>
        <w:gridCol w:w="1200"/>
        <w:gridCol w:w="3300"/>
        <w:gridCol w:w="4860"/>
      </w:tblGrid>
      <w:tr>
        <w:trPr>
          <w:tblHeader w:val="1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Priority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Next deliverable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Evidence of completion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P0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Candidate training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Before/after artifact on approved mutation batches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P0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Reference fidelity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Compare against authorized aggregate distributions when available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P1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Calibration benchmark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Probability calibration and cost-sensitive threshold comparison on locked data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P1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Graph intelligence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Shared-entity and ring-density lift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P1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Observability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7212B"/>
                <w:sz w:val="18"/>
              </w:rPr>
              <w:t>Drift test, metrics endpoint, durable audit trail</w:t>
            </w:r>
          </w:p>
        </w:tc>
      </w:tr>
    </w:tbl>
    <w:p>
      <w:pPr>
        <w:pStyle w:val="Heading2"/>
      </w:pPr>
      <w:r>
        <w:t>Submission checklist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color w:val="17212B"/>
        </w:rPr>
        <w:t>Runnable repository covers Identify, Generate, Defend, and Learn.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color w:val="17212B"/>
        </w:rPr>
        <w:t>DOCX explains attacks, generation, detection efficacy, and live-payment feasibility.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color w:val="17212B"/>
        </w:rPr>
        <w:t>Web prototype demonstrates the closed loop with a presentable UI.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color w:val="17212B"/>
        </w:rPr>
        <w:t>All synthetic metrics and limitations are labeled honestly.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color w:val="17212B"/>
        </w:rPr>
        <w:t>Public deployment and links are tested without requiring judge login.</w:t>
      </w:r>
    </w:p>
    <w:p>
      <w:pPr>
        <w:pStyle w:val="Heading2"/>
      </w:pPr>
      <w:r>
        <w:t>Sources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color w:val="17212B"/>
        </w:rPr>
        <w:t>Mastercard Innovation Challenge 2026 private Kaggle overview (accessed 22 August 2026): https://www.kaggle.com/competitions/mastercard-innovation-challenge-2026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color w:val="17212B"/>
        </w:rPr>
        <w:t>Mastercard Innovation Challenge @ GFF 2026 public Luma brief (accessed 22 August 2026): https://luma.com/kyz978xv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color w:val="17212B"/>
        </w:rPr>
        <w:t>Auralis Risk repository implementation, portable XGBoost artifact, automated tests, and browser-verified prototype.</w:t>
      </w:r>
    </w:p>
    <w:p>
      <w:pPr>
        <w:spacing w:after="160" w:line="280" w:lineRule="auto"/>
        <w:ind w:left="504" w:hanging="360"/>
      </w:pPr>
      <w:r>
        <w:rPr>
          <w:rFonts w:ascii="Calibri" w:hAnsi="Calibri"/>
          <w:color w:val="17212B"/>
        </w:rPr>
        <w:t xml:space="preserve">• </w:t>
      </w:r>
      <w:r>
        <w:rPr>
          <w:rFonts w:ascii="Calibri" w:hAnsi="Calibri"/>
          <w:color w:val="17212B"/>
        </w:rPr>
        <w:t>User-provided planning documents: team work plan and Mastercard GFF 2026 AI Defense Lab Project Report.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8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8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67085"/>
        <w:sz w:val="17"/>
      </w:rPr>
      <w:t>AURALIS RISK  |  MASTERCARD INNOVATION CHALLENGE 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67085"/>
        <w:sz w:val="17"/>
      </w:rPr>
      <w:t>AURALIS RISK  |  MASTERCARD INNOVATION CHALLENGE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</w:abstractNum>
  <w:abstractNum w:abstractNumId="10">
    <w:multiLevelType w:val="singleLevel"/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7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</w:pPr>
    <w:rPr>
      <w:rFonts w:asciiTheme="majorHAnsi" w:eastAsiaTheme="majorEastAsia" w:hAnsiTheme="majorHAnsi" w:cstheme="majorBidi" w:ascii="Calibri" w:hAnsi="Calibri"/>
      <w:i/>
      <w:iCs/>
      <w:color w:val="667085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Auralis Risk Solution Walkthrough</dc:title>
  <dc:subject>Mastercard Innovation Challenge 2026 - AI Defense Lab for Payment Security</dc:subject>
  <dc:creator>Auralis Risk Team</dc:creator>
  <cp:keywords>fraud detection, synthetic data, red team, blue team, payment security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