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The actu</w:t>
      </w:r>
      <w:bookmarkStart w:id="0" w:name="_GoBack"/>
      <w:bookmarkEnd w:id="0"/>
      <w:r>
        <w:rPr>
          <w:rFonts w:ascii="Times New Roman" w:hAnsi="Times New Roman"/>
        </w:rPr>
        <w:t xml:space="preserve">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P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lastRenderedPageBreak/>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t>
      </w:r>
      <w:r>
        <w:rPr>
          <w:rFonts w:ascii="Times New Roman" w:hAnsi="Times New Roman"/>
          <w:color w:val="000000"/>
        </w:rPr>
        <w:lastRenderedPageBreak/>
        <w:t xml:space="preserve">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lastRenderedPageBreak/>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w:t>
      </w:r>
      <w:r>
        <w:rPr>
          <w:rFonts w:ascii="Times New Roman" w:hAnsi="Times New Roman"/>
        </w:rPr>
        <w:lastRenderedPageBreak/>
        <w:t>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lastRenderedPageBreak/>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AF314B"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w:t>
      </w:r>
      <w:r>
        <w:rPr>
          <w:rFonts w:ascii="Times New Roman" w:hAnsi="Times New Roman"/>
        </w:rPr>
        <w:lastRenderedPageBreak/>
        <w:t>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AF314B">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1pt;height:23.1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AF314B">
        <w:rPr>
          <w:position w:val="-18"/>
        </w:rPr>
        <w:pict w14:anchorId="34C00A39">
          <v:shape id="_x0000_i1027" type="#_x0000_t75" style="width:4in;height:25.8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AF314B">
        <w:rPr>
          <w:rFonts w:ascii="Times New Roman" w:hAnsi="Times New Roman"/>
          <w:position w:val="-12"/>
        </w:rPr>
        <w:pict w14:anchorId="465507D2">
          <v:shape id="_x0000_i1028" type="#_x0000_t75" style="width:12.9pt;height:19.9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AF314B">
        <w:rPr>
          <w:rFonts w:ascii="Times New Roman" w:hAnsi="Times New Roman"/>
          <w:position w:val="-16"/>
        </w:rPr>
        <w:pict w14:anchorId="4719D855">
          <v:shape id="_x0000_i1029" type="#_x0000_t75" style="width:101pt;height:23.1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AF314B" w:rsidP="008A53DF">
      <w:pPr>
        <w:jc w:val="center"/>
      </w:pPr>
      <w:r>
        <w:rPr>
          <w:position w:val="-16"/>
        </w:rPr>
        <w:pict w14:anchorId="458D14F0">
          <v:shape id="_x0000_i1030" type="#_x0000_t75" style="width:241.8pt;height:23.1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AF314B" w:rsidP="008A53DF">
      <w:pPr>
        <w:jc w:val="center"/>
      </w:pPr>
      <w:r>
        <w:rPr>
          <w:position w:val="-16"/>
        </w:rPr>
        <w:pict w14:anchorId="50690FC8">
          <v:shape id="_x0000_i1031" type="#_x0000_t75" style="width:196.1pt;height:23.1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AF314B">
        <w:rPr>
          <w:position w:val="-12"/>
        </w:rPr>
        <w:pict w14:anchorId="698F4844">
          <v:shape id="_x0000_i1032" type="#_x0000_t75" style="width:43pt;height:18.8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F314B">
        <w:rPr>
          <w:position w:val="-12"/>
        </w:rPr>
        <w:pict w14:anchorId="38D44606">
          <v:shape id="_x0000_i1033" type="#_x0000_t75" style="width:43pt;height:18.8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AF314B">
        <w:rPr>
          <w:position w:val="-16"/>
        </w:rPr>
        <w:pict w14:anchorId="428F2E8B">
          <v:shape id="_x0000_i1034" type="#_x0000_t75" style="width:282.1pt;height:23.1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AF314B">
        <w:rPr>
          <w:position w:val="-14"/>
        </w:rPr>
        <w:pict w14:anchorId="09F96696">
          <v:shape id="_x0000_i1035" type="#_x0000_t75" style="width:185.9pt;height:19.9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F314B">
        <w:rPr>
          <w:position w:val="-12"/>
        </w:rPr>
        <w:pict w14:anchorId="3FE14509">
          <v:shape id="_x0000_i1036" type="#_x0000_t75" style="width:31.15pt;height:18.8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AF314B">
        <w:rPr>
          <w:position w:val="-16"/>
        </w:rPr>
        <w:pict w14:anchorId="40223B1E">
          <v:shape id="_x0000_i1037" type="#_x0000_t75" style="width:139.15pt;height:23.1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AF314B">
        <w:rPr>
          <w:position w:val="-16"/>
        </w:rPr>
        <w:pict w14:anchorId="7C42C75C">
          <v:shape id="_x0000_i1038" type="#_x0000_t75" style="width:148.85pt;height:23.1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F314B">
        <w:rPr>
          <w:position w:val="-12"/>
        </w:rPr>
        <w:pict w14:anchorId="28E70FFB">
          <v:shape id="_x0000_i1039" type="#_x0000_t75" style="width:18.8pt;height:18.8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AF314B">
      <w:rPr>
        <w:rStyle w:val="PageNumber"/>
        <w:rFonts w:ascii="Times New Roman" w:hAnsi="Times New Roman"/>
        <w:noProof/>
      </w:rPr>
      <w:t>10</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26DB4"/>
    <w:rsid w:val="000507B4"/>
    <w:rsid w:val="000544E9"/>
    <w:rsid w:val="000601FE"/>
    <w:rsid w:val="0006449B"/>
    <w:rsid w:val="000737F8"/>
    <w:rsid w:val="0007587E"/>
    <w:rsid w:val="0011333C"/>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AF314B"/>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CC326-794B-F741-81A4-3A8A6BCD85C0}">
  <ds:schemaRefs>
    <ds:schemaRef ds:uri="http://schemas.openxmlformats.org/officeDocument/2006/bibliography"/>
  </ds:schemaRefs>
</ds:datastoreItem>
</file>

<file path=customXml/itemProps2.xml><?xml version="1.0" encoding="utf-8"?>
<ds:datastoreItem xmlns:ds="http://schemas.openxmlformats.org/officeDocument/2006/customXml" ds:itemID="{F620C020-0F1D-9848-B33B-2B9191569E9D}">
  <ds:schemaRefs>
    <ds:schemaRef ds:uri="http://schemas.openxmlformats.org/officeDocument/2006/bibliography"/>
  </ds:schemaRefs>
</ds:datastoreItem>
</file>

<file path=customXml/itemProps3.xml><?xml version="1.0" encoding="utf-8"?>
<ds:datastoreItem xmlns:ds="http://schemas.openxmlformats.org/officeDocument/2006/customXml" ds:itemID="{2CFC1479-AFD3-DB4A-8819-6A31F5DD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32</Pages>
  <Words>9859</Words>
  <Characters>56200</Characters>
  <Application>Microsoft Macintosh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65928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6</cp:revision>
  <cp:lastPrinted>2014-04-08T10:08:00Z</cp:lastPrinted>
  <dcterms:created xsi:type="dcterms:W3CDTF">2014-04-08T10:08:00Z</dcterms:created>
  <dcterms:modified xsi:type="dcterms:W3CDTF">2014-04-09T08:28:00Z</dcterms:modified>
</cp:coreProperties>
</file>