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117E085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13</w:t>
      </w:r>
    </w:p>
    <w:p w14:paraId="769EE8DE" w14:textId="32A83E3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15</w:t>
      </w:r>
    </w:p>
    <w:p w14:paraId="49589518" w14:textId="4D3E9F9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22677A">
        <w:rPr>
          <w:rFonts w:ascii="Times New Roman" w:hAnsi="Times New Roman"/>
          <w:b/>
        </w:rPr>
        <w:t>17</w:t>
      </w:r>
    </w:p>
    <w:p w14:paraId="1F4C9920" w14:textId="41405500"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882CB0">
        <w:rPr>
          <w:rFonts w:ascii="Times New Roman" w:hAnsi="Times New Roman"/>
          <w:b/>
        </w:rPr>
        <w:t>18</w:t>
      </w:r>
    </w:p>
    <w:p w14:paraId="70E2B5DB" w14:textId="2CC02A9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22677A">
        <w:rPr>
          <w:rFonts w:ascii="Times New Roman" w:hAnsi="Times New Roman"/>
          <w:b/>
        </w:rPr>
        <w:t>r/Stellar spectrum .sol file.</w:t>
      </w:r>
      <w:r w:rsidR="0022677A">
        <w:rPr>
          <w:rFonts w:ascii="Times New Roman" w:hAnsi="Times New Roman"/>
          <w:b/>
        </w:rPr>
        <w:tab/>
        <w:t>18</w:t>
      </w:r>
    </w:p>
    <w:p w14:paraId="60B433C9" w14:textId="3C676DE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22677A">
        <w:rPr>
          <w:rFonts w:ascii="Times New Roman" w:hAnsi="Times New Roman"/>
          <w:b/>
        </w:rPr>
        <w:t>induced absorption .</w:t>
      </w:r>
      <w:proofErr w:type="spellStart"/>
      <w:r w:rsidR="0022677A">
        <w:rPr>
          <w:rFonts w:ascii="Times New Roman" w:hAnsi="Times New Roman"/>
          <w:b/>
        </w:rPr>
        <w:t>cia</w:t>
      </w:r>
      <w:proofErr w:type="spellEnd"/>
      <w:r w:rsidR="0022677A">
        <w:rPr>
          <w:rFonts w:ascii="Times New Roman" w:hAnsi="Times New Roman"/>
          <w:b/>
        </w:rPr>
        <w:t xml:space="preserve"> file.</w:t>
      </w:r>
      <w:r w:rsidR="0022677A">
        <w:rPr>
          <w:rFonts w:ascii="Times New Roman" w:hAnsi="Times New Roman"/>
          <w:b/>
        </w:rPr>
        <w:tab/>
        <w:t>18</w:t>
      </w:r>
    </w:p>
    <w:p w14:paraId="63B3736E" w14:textId="182E5DD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882CB0">
        <w:rPr>
          <w:rFonts w:ascii="Times New Roman" w:hAnsi="Times New Roman"/>
          <w:b/>
        </w:rPr>
        <w:t>.8</w:t>
      </w:r>
      <w:r w:rsidR="00882CB0">
        <w:rPr>
          <w:rFonts w:ascii="Times New Roman" w:hAnsi="Times New Roman"/>
          <w:b/>
        </w:rPr>
        <w:tab/>
        <w:t>Additional flags .</w:t>
      </w:r>
      <w:proofErr w:type="spellStart"/>
      <w:r w:rsidR="00882CB0">
        <w:rPr>
          <w:rFonts w:ascii="Times New Roman" w:hAnsi="Times New Roman"/>
          <w:b/>
        </w:rPr>
        <w:t>fla</w:t>
      </w:r>
      <w:proofErr w:type="spellEnd"/>
      <w:r w:rsidR="00882CB0">
        <w:rPr>
          <w:rFonts w:ascii="Times New Roman" w:hAnsi="Times New Roman"/>
          <w:b/>
        </w:rPr>
        <w:t xml:space="preserve"> file</w:t>
      </w:r>
      <w:r w:rsidR="00882CB0">
        <w:rPr>
          <w:rFonts w:ascii="Times New Roman" w:hAnsi="Times New Roman"/>
          <w:b/>
        </w:rPr>
        <w:tab/>
        <w:t>19</w:t>
      </w:r>
    </w:p>
    <w:p w14:paraId="63291485" w14:textId="71950EB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w:t>
      </w:r>
      <w:r w:rsidR="0022677A">
        <w:rPr>
          <w:rFonts w:ascii="Times New Roman" w:hAnsi="Times New Roman"/>
          <w:b/>
        </w:rPr>
        <w:t>alculation .</w:t>
      </w:r>
      <w:proofErr w:type="spellStart"/>
      <w:r w:rsidR="0022677A">
        <w:rPr>
          <w:rFonts w:ascii="Times New Roman" w:hAnsi="Times New Roman"/>
          <w:b/>
        </w:rPr>
        <w:t>rfl</w:t>
      </w:r>
      <w:proofErr w:type="spellEnd"/>
      <w:r w:rsidR="0022677A">
        <w:rPr>
          <w:rFonts w:ascii="Times New Roman" w:hAnsi="Times New Roman"/>
          <w:b/>
        </w:rPr>
        <w:t xml:space="preserve"> file</w:t>
      </w:r>
      <w:r w:rsidR="0022677A">
        <w:rPr>
          <w:rFonts w:ascii="Times New Roman" w:hAnsi="Times New Roman"/>
          <w:b/>
        </w:rPr>
        <w:tab/>
        <w:t>19</w:t>
      </w:r>
    </w:p>
    <w:p w14:paraId="4BDCFC37" w14:textId="262AAF14"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w:t>
      </w:r>
      <w:r w:rsidR="0022677A">
        <w:rPr>
          <w:rFonts w:ascii="Times New Roman" w:hAnsi="Times New Roman"/>
          <w:b/>
        </w:rPr>
        <w:t>turation definition .</w:t>
      </w:r>
      <w:proofErr w:type="spellStart"/>
      <w:r w:rsidR="0022677A">
        <w:rPr>
          <w:rFonts w:ascii="Times New Roman" w:hAnsi="Times New Roman"/>
          <w:b/>
        </w:rPr>
        <w:t>vpf</w:t>
      </w:r>
      <w:proofErr w:type="spellEnd"/>
      <w:r w:rsidR="0022677A">
        <w:rPr>
          <w:rFonts w:ascii="Times New Roman" w:hAnsi="Times New Roman"/>
          <w:b/>
        </w:rPr>
        <w:t xml:space="preserve"> file</w:t>
      </w:r>
      <w:r w:rsidR="0022677A">
        <w:rPr>
          <w:rFonts w:ascii="Times New Roman" w:hAnsi="Times New Roman"/>
          <w:b/>
        </w:rPr>
        <w:tab/>
        <w:t>19</w:t>
      </w:r>
    </w:p>
    <w:p w14:paraId="665C8AB7" w14:textId="53FEADA8"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22677A">
        <w:rPr>
          <w:rFonts w:ascii="Times New Roman" w:hAnsi="Times New Roman"/>
          <w:b/>
        </w:rPr>
        <w:t>en Nemesis and previous codes</w:t>
      </w:r>
      <w:r w:rsidR="0022677A">
        <w:rPr>
          <w:rFonts w:ascii="Times New Roman" w:hAnsi="Times New Roman"/>
          <w:b/>
        </w:rPr>
        <w:tab/>
        <w:t>20</w:t>
      </w:r>
    </w:p>
    <w:p w14:paraId="50036B52" w14:textId="271B907F"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22677A">
        <w:rPr>
          <w:rFonts w:ascii="Times New Roman" w:hAnsi="Times New Roman"/>
          <w:b/>
        </w:rPr>
        <w:tab/>
        <w:t>21</w:t>
      </w:r>
    </w:p>
    <w:p w14:paraId="074275E3" w14:textId="163366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882CB0">
        <w:rPr>
          <w:rFonts w:ascii="Times New Roman" w:hAnsi="Times New Roman"/>
          <w:b/>
        </w:rPr>
        <w:t>22</w:t>
      </w:r>
    </w:p>
    <w:p w14:paraId="1BB12C0E" w14:textId="2EDC1899"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22677A">
        <w:rPr>
          <w:rFonts w:ascii="Times New Roman" w:hAnsi="Times New Roman"/>
          <w:b/>
        </w:rPr>
        <w:tab/>
        <w:t>Recent developments</w:t>
      </w:r>
      <w:r w:rsidR="0022677A">
        <w:rPr>
          <w:rFonts w:ascii="Times New Roman" w:hAnsi="Times New Roman"/>
          <w:b/>
        </w:rPr>
        <w:tab/>
        <w:t>22</w:t>
      </w:r>
    </w:p>
    <w:p w14:paraId="4CA86EC9" w14:textId="32DA8BC5" w:rsidR="0022677A"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22677A">
        <w:rPr>
          <w:rFonts w:ascii="Times New Roman" w:hAnsi="Times New Roman"/>
          <w:b/>
        </w:rPr>
        <w:t>22</w:t>
      </w:r>
    </w:p>
    <w:p w14:paraId="747A0C5C" w14:textId="3FF08085"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22677A">
        <w:rPr>
          <w:rFonts w:ascii="Times New Roman" w:hAnsi="Times New Roman"/>
          <w:b/>
        </w:rPr>
        <w:tab/>
        <w:t>22</w:t>
      </w:r>
    </w:p>
    <w:p w14:paraId="39CBCE76" w14:textId="20CED3B2" w:rsidR="000601FE" w:rsidRDefault="00882CB0"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23</w:t>
      </w:r>
    </w:p>
    <w:p w14:paraId="33B88B67" w14:textId="176A27E9"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69905DEE"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09B41040"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D02A117" w14:textId="38EAAA53" w:rsidR="00A84AF5" w:rsidRDefault="00A84AF5" w:rsidP="000601FE">
      <w:pPr>
        <w:tabs>
          <w:tab w:val="left" w:pos="1134"/>
          <w:tab w:val="left" w:pos="1843"/>
          <w:tab w:val="right" w:pos="7920"/>
        </w:tabs>
        <w:rPr>
          <w:rFonts w:ascii="Times New Roman" w:hAnsi="Times New Roman"/>
          <w:b/>
        </w:rPr>
      </w:pPr>
      <w:r>
        <w:rPr>
          <w:rFonts w:ascii="Times New Roman" w:hAnsi="Times New Roman"/>
          <w:b/>
        </w:rPr>
        <w:tab/>
        <w:t>8.5</w:t>
      </w:r>
      <w:r>
        <w:rPr>
          <w:rFonts w:ascii="Times New Roman" w:hAnsi="Times New Roman"/>
          <w:b/>
        </w:rPr>
        <w:tab/>
      </w:r>
      <w:proofErr w:type="spellStart"/>
      <w:r>
        <w:rPr>
          <w:rFonts w:ascii="Times New Roman" w:hAnsi="Times New Roman"/>
          <w:b/>
        </w:rPr>
        <w:t>CIRSdrv_wave</w:t>
      </w:r>
      <w:proofErr w:type="spellEnd"/>
      <w:r>
        <w:rPr>
          <w:rFonts w:ascii="Times New Roman" w:hAnsi="Times New Roman"/>
          <w:b/>
        </w:rPr>
        <w:tab/>
        <w:t>24</w:t>
      </w:r>
    </w:p>
    <w:p w14:paraId="47BF976F" w14:textId="61FD6BD8" w:rsidR="00A84AF5" w:rsidRDefault="00A84AF5" w:rsidP="000601FE">
      <w:pPr>
        <w:tabs>
          <w:tab w:val="left" w:pos="1134"/>
          <w:tab w:val="left" w:pos="1843"/>
          <w:tab w:val="right" w:pos="7920"/>
        </w:tabs>
        <w:rPr>
          <w:rFonts w:ascii="Times New Roman" w:hAnsi="Times New Roman"/>
          <w:b/>
        </w:rPr>
      </w:pPr>
      <w:r>
        <w:rPr>
          <w:rFonts w:ascii="Times New Roman" w:hAnsi="Times New Roman"/>
          <w:b/>
        </w:rPr>
        <w:tab/>
        <w:t>8.6</w:t>
      </w:r>
      <w:r>
        <w:rPr>
          <w:rFonts w:ascii="Times New Roman" w:hAnsi="Times New Roman"/>
          <w:b/>
        </w:rPr>
        <w:tab/>
      </w:r>
      <w:proofErr w:type="spellStart"/>
      <w:r>
        <w:rPr>
          <w:rFonts w:ascii="Times New Roman" w:hAnsi="Times New Roman"/>
          <w:b/>
        </w:rPr>
        <w:t>Lbldrv_wave</w:t>
      </w:r>
      <w:proofErr w:type="spellEnd"/>
      <w:r>
        <w:rPr>
          <w:rFonts w:ascii="Times New Roman" w:hAnsi="Times New Roman"/>
          <w:b/>
        </w:rPr>
        <w:tab/>
      </w:r>
      <w:r w:rsidR="00677C41">
        <w:rPr>
          <w:rFonts w:ascii="Times New Roman" w:hAnsi="Times New Roman"/>
          <w:b/>
        </w:rPr>
        <w:t>25</w:t>
      </w:r>
    </w:p>
    <w:p w14:paraId="048409E8" w14:textId="09C5026D"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677C41">
        <w:rPr>
          <w:rFonts w:ascii="Times New Roman" w:hAnsi="Times New Roman"/>
          <w:b/>
        </w:rPr>
        <w:t>26</w:t>
      </w:r>
    </w:p>
    <w:p w14:paraId="587CBD81" w14:textId="1337850A"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677C41">
        <w:rPr>
          <w:rFonts w:ascii="Times New Roman" w:hAnsi="Times New Roman"/>
          <w:b/>
        </w:rPr>
        <w:t>26</w:t>
      </w:r>
    </w:p>
    <w:p w14:paraId="447EEEDB" w14:textId="5ACA69E0"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677C41">
        <w:rPr>
          <w:rFonts w:ascii="Times New Roman" w:hAnsi="Times New Roman"/>
          <w:b/>
        </w:rPr>
        <w:t>26</w:t>
      </w:r>
    </w:p>
    <w:p w14:paraId="549E1E1A" w14:textId="707E860B"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677C41">
        <w:rPr>
          <w:rFonts w:ascii="Times New Roman" w:hAnsi="Times New Roman"/>
          <w:b/>
        </w:rPr>
        <w:t>28</w:t>
      </w:r>
    </w:p>
    <w:p w14:paraId="50F59D6B" w14:textId="50B20CE5"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677C41">
        <w:rPr>
          <w:rFonts w:ascii="Times New Roman" w:hAnsi="Times New Roman"/>
          <w:b/>
        </w:rPr>
        <w:t>28</w:t>
      </w:r>
    </w:p>
    <w:p w14:paraId="454FC9AC" w14:textId="41E6054A" w:rsidR="008A53DF" w:rsidRDefault="00677C4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29</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574DB4B3"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w:t>
      </w:r>
      <w:proofErr w:type="gramEnd"/>
      <w:r w:rsidR="0007587E">
        <w:rPr>
          <w:rFonts w:ascii="Times New Roman" w:hAnsi="Times New Roman"/>
        </w:rPr>
        <w:t xml:space="preserve">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w:t>
      </w:r>
      <w:r w:rsidR="005D762F">
        <w:rPr>
          <w:rFonts w:ascii="Times New Roman" w:hAnsi="Times New Roman"/>
        </w:rPr>
        <w:lastRenderedPageBreak/>
        <w:t>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 xml:space="preserve">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w:t>
      </w:r>
      <w:proofErr w:type="gramStart"/>
      <w:r>
        <w:rPr>
          <w:rFonts w:ascii="Times New Roman" w:hAnsi="Times New Roman"/>
        </w:rPr>
        <w:t>If the file is not present IPZEN defaults to 0.</w:t>
      </w:r>
      <w:proofErr w:type="gramEnd"/>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57A39191"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EAC718E"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6ABB99F8"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runname.cel</w:t>
      </w:r>
      <w:proofErr w:type="spellEnd"/>
      <w:proofErr w:type="gramEnd"/>
      <w:r>
        <w:rPr>
          <w:rFonts w:ascii="Times New Roman" w:hAnsi="Times New Roman"/>
        </w:rPr>
        <w:t>&gt;</w:t>
      </w:r>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38DCEFA2" w14:textId="02A8EA89" w:rsidR="008A53DF" w:rsidRDefault="008A53DF" w:rsidP="008A53DF">
      <w:pPr>
        <w:ind w:left="-11"/>
        <w:jc w:val="both"/>
        <w:outlineLvl w:val="0"/>
        <w:rPr>
          <w:rFonts w:ascii="Times New Roman" w:hAnsi="Times New Roman"/>
          <w:b/>
        </w:rPr>
      </w:pP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lastRenderedPageBreak/>
        <w:t>VARIDENT(</w:t>
      </w:r>
      <w:proofErr w:type="gramEnd"/>
      <w:r w:rsidR="003665D8" w:rsidRPr="003665D8">
        <w:rPr>
          <w:rFonts w:ascii="Times New Roman" w:hAnsi="Times New Roman"/>
          <w:b/>
        </w:rPr>
        <w: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w:t>
      </w:r>
      <w:r w:rsidRPr="009F5484">
        <w:rPr>
          <w:rFonts w:ascii="Times New Roman" w:hAnsi="Times New Roman"/>
        </w:rPr>
        <w:lastRenderedPageBreak/>
        <w:t>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w:t>
      </w:r>
      <w:proofErr w:type="spellStart"/>
      <w:r w:rsidR="00350C67" w:rsidRPr="00350C67">
        <w:rPr>
          <w:rFonts w:ascii="Times New Roman" w:hAnsi="Times New Roman"/>
          <w:b/>
        </w:rPr>
        <w:t>runname</w:t>
      </w:r>
      <w:proofErr w:type="spellEnd"/>
      <w:r w:rsidR="00350C67" w:rsidRPr="00350C67">
        <w:rPr>
          <w:rFonts w:ascii="Times New Roman" w:hAnsi="Times New Roman"/>
          <w:b/>
        </w:rPr>
        <w:t>&gt;.</w:t>
      </w:r>
      <w:proofErr w:type="spellStart"/>
      <w:r w:rsidR="00350C67" w:rsidRPr="00350C67">
        <w:rPr>
          <w:rFonts w:ascii="Times New Roman" w:hAnsi="Times New Roman"/>
          <w:b/>
        </w:rPr>
        <w:t>xsc</w:t>
      </w:r>
      <w:proofErr w:type="spellEnd"/>
      <w:r w:rsidR="00350C67" w:rsidRPr="00350C67">
        <w:rPr>
          <w:rFonts w:ascii="Times New Roman" w:hAnsi="Times New Roman"/>
          <w:b/>
        </w:rPr>
        <w:t xml:space="preserve">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14:paraId="5FB16BD3" w14:textId="77777777"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 The three lowest cloud decks </w:t>
      </w:r>
      <w:proofErr w:type="gramStart"/>
      <w:r>
        <w:rPr>
          <w:rFonts w:ascii="Times New Roman" w:hAnsi="Times New Roman"/>
        </w:rPr>
        <w:t>a</w:t>
      </w:r>
      <w:proofErr w:type="gramEnd"/>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14:paraId="5EA485F4" w14:textId="2432BFD1" w:rsidR="00F803D1" w:rsidRPr="00216EC3"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223 then a revised Uranus cloud layering scheme is used where a depletion of methane in the troposphere is also allowed. The format is the same as for the 222 </w:t>
      </w:r>
      <w:proofErr w:type="gramStart"/>
      <w:r>
        <w:rPr>
          <w:rFonts w:ascii="Times New Roman" w:hAnsi="Times New Roman"/>
        </w:rPr>
        <w:t>model</w:t>
      </w:r>
      <w:proofErr w:type="gramEnd"/>
      <w:r>
        <w:rPr>
          <w:rFonts w:ascii="Times New Roman" w:hAnsi="Times New Roman"/>
        </w:rPr>
        <w:t xml:space="preserve">,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531C4E42" w14:textId="77777777" w:rsidR="008A53DF" w:rsidRDefault="008A53DF" w:rsidP="00860E4C">
      <w:pPr>
        <w:ind w:left="-22"/>
        <w:jc w:val="both"/>
        <w:rPr>
          <w:rFonts w:ascii="Times New Roman" w:hAnsi="Times New Roman"/>
        </w:rPr>
      </w:pPr>
    </w:p>
    <w:p w14:paraId="7FF326D8" w14:textId="3C099CFD"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9F5484">
        <w:rPr>
          <w:rFonts w:ascii="Times New Roman" w:hAnsi="Times New Roman"/>
        </w:rPr>
        <w:t>16</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lastRenderedPageBreak/>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w:t>
      </w:r>
      <w:r>
        <w:rPr>
          <w:rFonts w:ascii="Times New Roman" w:hAnsi="Times New Roman"/>
          <w:color w:val="000000"/>
        </w:rPr>
        <w:lastRenderedPageBreak/>
        <w:t xml:space="preserve">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14:paraId="3C4B5D05" w14:textId="33A92DD3"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55EEBAEB" w14:textId="49EB3E5A"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a defined fractional scale height. However, in this model the profile is fixed at altitudes above the reference pressure level. </w:t>
      </w:r>
    </w:p>
    <w:p w14:paraId="75F0AD9E" w14:textId="19D59698" w:rsid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proofErr w:type="gramStart"/>
      <w:r>
        <w:rPr>
          <w:rFonts w:ascii="Times New Roman" w:hAnsi="Times New Roman"/>
        </w:rPr>
        <w:t>VARIDENT(</w:t>
      </w:r>
      <w:proofErr w:type="gramEnd"/>
      <w:r>
        <w:rPr>
          <w:rFonts w:ascii="Times New Roman" w:hAnsi="Times New Roman"/>
        </w:rPr>
        <w: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lastRenderedPageBreak/>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w:t>
      </w:r>
      <w:proofErr w:type="spellStart"/>
      <w:r>
        <w:rPr>
          <w:rFonts w:ascii="Times New Roman" w:hAnsi="Times New Roman"/>
          <w:color w:val="000000"/>
        </w:rPr>
        <w:t>tropopause</w:t>
      </w:r>
      <w:proofErr w:type="spellEnd"/>
      <w:r>
        <w:rPr>
          <w:rFonts w:ascii="Times New Roman" w:hAnsi="Times New Roman"/>
          <w:color w:val="000000"/>
        </w:rPr>
        <w:t xml:space="preserv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proofErr w:type="gramStart"/>
      <w:r w:rsidRPr="00E84C16">
        <w:rPr>
          <w:rFonts w:ascii="Times New Roman" w:hAnsi="Times New Roman"/>
          <w:i/>
          <w:color w:val="000000"/>
        </w:rPr>
        <w:t>x</w:t>
      </w:r>
      <w:r>
        <w:rPr>
          <w:rFonts w:ascii="Times New Roman" w:hAnsi="Times New Roman"/>
          <w:color w:val="000000"/>
        </w:rPr>
        <w:t>(</w:t>
      </w:r>
      <w:proofErr w:type="gramEnd"/>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27A717DB" w14:textId="4B3420E0" w:rsidR="0085226C" w:rsidRPr="0085226C" w:rsidRDefault="0085226C" w:rsidP="0085226C">
      <w:pPr>
        <w:pStyle w:val="ListParagraph"/>
        <w:numPr>
          <w:ilvl w:val="0"/>
          <w:numId w:val="42"/>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However, in this parameterisation, the profile is forced to a very small number at pressures less than a ‘</w:t>
      </w:r>
      <w:proofErr w:type="spellStart"/>
      <w:r>
        <w:rPr>
          <w:rFonts w:ascii="Times New Roman" w:hAnsi="Times New Roman"/>
        </w:rPr>
        <w:t>tropopause</w:t>
      </w:r>
      <w:proofErr w:type="spellEnd"/>
      <w:r>
        <w:rPr>
          <w:rFonts w:ascii="Times New Roman" w:hAnsi="Times New Roman"/>
        </w:rPr>
        <w:t xml:space="preserv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and ‘</w:t>
      </w:r>
      <w:proofErr w:type="spellStart"/>
      <w:r>
        <w:rPr>
          <w:rFonts w:ascii="Times New Roman" w:hAnsi="Times New Roman"/>
        </w:rPr>
        <w:t>tropopause</w:t>
      </w:r>
      <w:proofErr w:type="spellEnd"/>
      <w:r>
        <w:rPr>
          <w:rFonts w:ascii="Times New Roman" w:hAnsi="Times New Roman"/>
        </w:rPr>
        <w:t xml:space="preserve">’ </w:t>
      </w:r>
      <w:r w:rsidRPr="0085226C">
        <w:rPr>
          <w:rFonts w:ascii="Times New Roman" w:hAnsi="Times New Roman"/>
        </w:rPr>
        <w:t>pressure</w:t>
      </w:r>
      <w:r>
        <w:rPr>
          <w:rFonts w:ascii="Times New Roman" w:hAnsi="Times New Roman"/>
        </w:rPr>
        <w:t>s</w:t>
      </w:r>
      <w:bookmarkStart w:id="0" w:name="_GoBack"/>
      <w:bookmarkEnd w:id="0"/>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0F911D2F" w14:textId="77777777" w:rsidR="00B64FEB" w:rsidRDefault="00B64FEB"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75C24CEF"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w:t>
      </w:r>
      <w:r w:rsidR="00656587">
        <w:rPr>
          <w:rFonts w:ascii="Times New Roman" w:hAnsi="Times New Roman"/>
        </w:rPr>
        <w:lastRenderedPageBreak/>
        <w:t xml:space="preserve">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lastRenderedPageBreak/>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lastRenderedPageBreak/>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371EB79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85226C"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C2064B" w:rsidRPr="006B4AB9" w:rsidRDefault="00C2064B">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C2064B" w:rsidRPr="006B4AB9" w:rsidRDefault="00C2064B">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C2064B" w:rsidRPr="006B4AB9" w:rsidRDefault="00C2064B">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01E9A04F" w14:textId="77777777" w:rsidR="00216EC3" w:rsidRDefault="00216EC3" w:rsidP="008A53DF">
      <w:pPr>
        <w:jc w:val="both"/>
        <w:rPr>
          <w:rFonts w:ascii="Times New Roman" w:hAnsi="Times New Roman"/>
        </w:rPr>
      </w:pPr>
    </w:p>
    <w:p w14:paraId="7AB7AAFF" w14:textId="77777777" w:rsidR="00216EC3" w:rsidRDefault="00216EC3" w:rsidP="008A53DF">
      <w:pPr>
        <w:jc w:val="both"/>
        <w:rPr>
          <w:rFonts w:ascii="Times New Roman" w:hAnsi="Times New Roman"/>
        </w:rPr>
      </w:pPr>
    </w:p>
    <w:p w14:paraId="7327F099" w14:textId="77777777" w:rsidR="00216EC3" w:rsidRDefault="00216EC3" w:rsidP="008A53DF">
      <w:pPr>
        <w:jc w:val="both"/>
        <w:rPr>
          <w:rFonts w:ascii="Times New Roman" w:hAnsi="Times New Roman"/>
        </w:rPr>
      </w:pPr>
    </w:p>
    <w:p w14:paraId="5E460701" w14:textId="77777777" w:rsidR="00216EC3" w:rsidRDefault="00216EC3"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lastRenderedPageBreak/>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7B28B6EC"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lastRenderedPageBreak/>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w:t>
      </w:r>
      <w:r>
        <w:rPr>
          <w:rFonts w:ascii="Times New Roman" w:hAnsi="Times New Roman"/>
        </w:rPr>
        <w:lastRenderedPageBreak/>
        <w:t>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588D2223"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w:t>
      </w:r>
      <w:r>
        <w:rPr>
          <w:rFonts w:ascii="Times New Roman" w:hAnsi="Times New Roman"/>
        </w:rPr>
        <w:lastRenderedPageBreak/>
        <w:t>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9B2042D"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lastRenderedPageBreak/>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3D57260A" w14:textId="77777777" w:rsidR="00A84AF5" w:rsidRDefault="00A84AF5" w:rsidP="0057635B">
      <w:pPr>
        <w:jc w:val="both"/>
        <w:rPr>
          <w:rFonts w:ascii="Times New Roman" w:hAnsi="Times New Roman"/>
        </w:rPr>
      </w:pPr>
    </w:p>
    <w:p w14:paraId="47CE0E7E" w14:textId="32EEC1BF"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1E55A82B" w14:textId="5694D062" w:rsidR="00A84AF5" w:rsidRDefault="004477CC" w:rsidP="00A84AF5">
      <w:pPr>
        <w:jc w:val="both"/>
        <w:rPr>
          <w:rFonts w:ascii="Times New Roman" w:hAnsi="Times New Roman"/>
        </w:rPr>
      </w:pPr>
      <w:proofErr w:type="spellStart"/>
      <w:r w:rsidRPr="004477CC">
        <w:rPr>
          <w:rFonts w:ascii="Copperplate Gothic Light" w:hAnsi="Copperplate Gothic Light"/>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4477CC">
        <w:rPr>
          <w:rFonts w:ascii="Copperplate Gothic Light" w:hAnsi="Copperplate Gothic Light"/>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714A519" w14:textId="77777777" w:rsidR="00016E76" w:rsidRDefault="00016E76" w:rsidP="00A84AF5">
      <w:pPr>
        <w:jc w:val="both"/>
        <w:rPr>
          <w:rFonts w:ascii="Times New Roman" w:hAnsi="Times New Roman"/>
        </w:rPr>
      </w:pPr>
    </w:p>
    <w:p w14:paraId="724184E9" w14:textId="260B359E"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0E0E7A7D" w14:textId="77777777" w:rsidR="00016E76" w:rsidRDefault="00016E76" w:rsidP="00016E76">
      <w:pPr>
        <w:ind w:firstLine="720"/>
        <w:jc w:val="both"/>
        <w:rPr>
          <w:rFonts w:ascii="Times New Roman" w:hAnsi="Times New Roman"/>
        </w:rPr>
      </w:pPr>
    </w:p>
    <w:p w14:paraId="5C7DCF0C" w14:textId="315AF561"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00431B99" w14:textId="77777777" w:rsidR="00C2064B" w:rsidRDefault="00C2064B" w:rsidP="00016E76">
      <w:pPr>
        <w:jc w:val="both"/>
        <w:rPr>
          <w:rFonts w:ascii="Times New Roman" w:hAnsi="Times New Roman"/>
        </w:rPr>
      </w:pPr>
    </w:p>
    <w:p w14:paraId="12AA7BC5" w14:textId="44EF357B" w:rsidR="00A22D00" w:rsidRDefault="00A22D00" w:rsidP="00016E76">
      <w:pPr>
        <w:jc w:val="both"/>
        <w:rPr>
          <w:rFonts w:ascii="Times New Roman" w:hAnsi="Times New Roman"/>
        </w:rPr>
      </w:pPr>
      <w:proofErr w:type="gramStart"/>
      <w:r>
        <w:rPr>
          <w:rFonts w:ascii="Times New Roman" w:hAnsi="Times New Roman"/>
        </w:rPr>
        <w:t>zero</w:t>
      </w:r>
      <w:proofErr w:type="gramEnd"/>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r w:rsidR="00C2064B">
        <w:rPr>
          <w:rFonts w:ascii="Times New Roman" w:hAnsi="Times New Roman"/>
        </w:rPr>
        <w:t>, .</w:t>
      </w:r>
      <w:proofErr w:type="spellStart"/>
      <w:r w:rsidR="00C2064B">
        <w:rPr>
          <w:rFonts w:ascii="Times New Roman" w:hAnsi="Times New Roman"/>
        </w:rPr>
        <w:t>kls</w:t>
      </w:r>
      <w:proofErr w:type="spell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3D556BF" w14:textId="6C51F24D"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4A6DAB50" w14:textId="414FCF95" w:rsidR="00A22D00" w:rsidRDefault="00C2064B" w:rsidP="00C2064B">
      <w:pPr>
        <w:ind w:left="1440" w:hanging="1440"/>
        <w:jc w:val="both"/>
        <w:rPr>
          <w:rFonts w:ascii="Times New Roman" w:hAnsi="Times New Roman"/>
        </w:rPr>
      </w:pPr>
      <w:proofErr w:type="gramStart"/>
      <w:r>
        <w:rPr>
          <w:rFonts w:ascii="Times New Roman" w:hAnsi="Times New Roman"/>
        </w:rPr>
        <w:t>y</w:t>
      </w:r>
      <w:proofErr w:type="gramEnd"/>
      <w:r>
        <w:rPr>
          <w:rFonts w:ascii="Times New Roman" w:hAnsi="Times New Roman"/>
        </w:rPr>
        <w:tab/>
      </w:r>
      <w:r>
        <w:rPr>
          <w:rFonts w:ascii="Times New Roman" w:hAnsi="Times New Roman"/>
        </w:rPr>
        <w:tab/>
        <w:t>(Do you want the wavelengths extracted from the .pat file?</w:t>
      </w:r>
    </w:p>
    <w:p w14:paraId="2DDB6730" w14:textId="55127108"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3F871C85" w14:textId="037F4A70"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4036704F" w14:textId="5F22935C"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4C7C2828" w14:textId="7A72B628"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1DC3185F" w14:textId="13D805F0"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521D6A69" w14:textId="77777777" w:rsidR="00C2064B" w:rsidRDefault="00C2064B" w:rsidP="00C2064B">
      <w:pPr>
        <w:ind w:left="1440" w:hanging="1440"/>
        <w:jc w:val="both"/>
        <w:rPr>
          <w:rFonts w:ascii="Times New Roman" w:hAnsi="Times New Roman"/>
        </w:rPr>
      </w:pPr>
    </w:p>
    <w:p w14:paraId="61687AFD" w14:textId="218B770F"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w:t>
      </w:r>
      <w:proofErr w:type="gramStart"/>
      <w:r>
        <w:rPr>
          <w:rFonts w:ascii="Times New Roman" w:hAnsi="Times New Roman"/>
        </w:rPr>
        <w:t>transmission weighting</w:t>
      </w:r>
      <w:proofErr w:type="gramEnd"/>
      <w:r>
        <w:rPr>
          <w:rFonts w:ascii="Times New Roman" w:hAnsi="Times New Roman"/>
        </w:rPr>
        <w:t xml:space="preserve">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w:t>
      </w:r>
      <w:proofErr w:type="gramStart"/>
      <w:r>
        <w:rPr>
          <w:rFonts w:ascii="Times New Roman" w:hAnsi="Times New Roman"/>
        </w:rPr>
        <w:t>one which is the raw spectrum</w:t>
      </w:r>
      <w:proofErr w:type="gramEnd"/>
      <w:r>
        <w:rPr>
          <w:rFonts w:ascii="Times New Roman" w:hAnsi="Times New Roman"/>
        </w:rPr>
        <w:t xml:space="preserve"> calculated at the k-table wavelengths/wavenumbers spanning the requested range and the second is this spectrum convolved with a box of width FWHM (defined in the .pat file) and output at the wavelengths/wavenumbers specified in the .pat file.</w:t>
      </w:r>
    </w:p>
    <w:p w14:paraId="098468A7" w14:textId="77777777" w:rsidR="00A22D00" w:rsidRPr="00016E76" w:rsidRDefault="00A22D00" w:rsidP="00016E76">
      <w:pPr>
        <w:jc w:val="both"/>
        <w:rPr>
          <w:rFonts w:ascii="Times New Roman" w:hAnsi="Times New Roman"/>
        </w:rPr>
      </w:pPr>
    </w:p>
    <w:p w14:paraId="55F39EDD" w14:textId="60B05085"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14:paraId="2EF707D1" w14:textId="42D81B5A" w:rsidR="00A84AF5" w:rsidRPr="00C2064B" w:rsidRDefault="00C2064B" w:rsidP="00A84AF5">
      <w:pPr>
        <w:jc w:val="both"/>
        <w:rPr>
          <w:rFonts w:ascii="Times New Roman" w:hAnsi="Times New Roman"/>
        </w:rPr>
      </w:pPr>
      <w:proofErr w:type="spellStart"/>
      <w:r w:rsidRPr="00C2064B">
        <w:rPr>
          <w:rFonts w:ascii="Copperplate Gothic Light" w:hAnsi="Copperplate Gothic Light"/>
        </w:rPr>
        <w:t>Lbldrv_wave</w:t>
      </w:r>
      <w:proofErr w:type="spellEnd"/>
      <w:r w:rsidRPr="00C2064B">
        <w:rPr>
          <w:rFonts w:ascii="Times New Roman" w:hAnsi="Times New Roman"/>
        </w:rPr>
        <w:t xml:space="preserve"> is exactly the same as </w:t>
      </w:r>
      <w:proofErr w:type="spellStart"/>
      <w:r w:rsidRPr="00C2064B">
        <w:rPr>
          <w:rFonts w:ascii="Copperplate Gothic Light" w:hAnsi="Copperplate Gothic Light"/>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 .</w:t>
      </w:r>
      <w:proofErr w:type="spellStart"/>
      <w:r>
        <w:rPr>
          <w:rFonts w:ascii="Times New Roman" w:hAnsi="Times New Roman"/>
        </w:rPr>
        <w:t>lbl</w:t>
      </w:r>
      <w:proofErr w:type="spell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85226C">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3pt;height:22.9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85226C">
        <w:rPr>
          <w:position w:val="-18"/>
        </w:rPr>
        <w:pict w14:anchorId="34C00A39">
          <v:shape id="_x0000_i1027" type="#_x0000_t75" style="width:4in;height:26.2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r>
        <w:rPr>
          <w:rFonts w:ascii="Times New Roman" w:hAnsi="Times New Roman"/>
        </w:rPr>
        <w:t xml:space="preserve">where </w:t>
      </w:r>
      <w:r w:rsidR="0085226C">
        <w:rPr>
          <w:rFonts w:ascii="Times New Roman" w:hAnsi="Times New Roman"/>
          <w:position w:val="-12"/>
        </w:rPr>
        <w:pict w14:anchorId="465507D2">
          <v:shape id="_x0000_i1028" type="#_x0000_t75" style="width:12.65pt;height:20.5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85226C">
        <w:rPr>
          <w:rFonts w:ascii="Times New Roman" w:hAnsi="Times New Roman"/>
          <w:position w:val="-16"/>
        </w:rPr>
        <w:pict w14:anchorId="4719D855">
          <v:shape id="_x0000_i1029" type="#_x0000_t75" style="width:100.6pt;height:22.9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85226C" w:rsidP="008A53DF">
      <w:pPr>
        <w:jc w:val="center"/>
      </w:pPr>
      <w:r>
        <w:rPr>
          <w:position w:val="-16"/>
        </w:rPr>
        <w:pict w14:anchorId="458D14F0">
          <v:shape id="_x0000_i1030" type="#_x0000_t75" style="width:242.2pt;height:22.9pt" fillcolor="window">
            <v:imagedata r:id="rId20"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85226C" w:rsidP="008A53DF">
      <w:pPr>
        <w:jc w:val="center"/>
      </w:pPr>
      <w:r>
        <w:rPr>
          <w:position w:val="-16"/>
        </w:rPr>
        <w:pict w14:anchorId="50690FC8">
          <v:shape id="_x0000_i1031" type="#_x0000_t75" style="width:195.5pt;height:22.9pt" fillcolor="window">
            <v:imagedata r:id="rId21"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85226C">
        <w:rPr>
          <w:position w:val="-12"/>
        </w:rPr>
        <w:pict w14:anchorId="698F4844">
          <v:shape id="_x0000_i1032" type="#_x0000_t75" style="width:43.4pt;height:19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85226C">
        <w:rPr>
          <w:position w:val="-12"/>
        </w:rPr>
        <w:pict w14:anchorId="38D44606">
          <v:shape id="_x0000_i1033" type="#_x0000_t75" style="width:43.4pt;height:19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85226C">
        <w:rPr>
          <w:position w:val="-16"/>
        </w:rPr>
        <w:pict w14:anchorId="428F2E8B">
          <v:shape id="_x0000_i1034" type="#_x0000_t75" style="width:282.3pt;height:22.9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41C27B34" w:rsidR="008A53DF" w:rsidRPr="009B20E0" w:rsidRDefault="008A53DF" w:rsidP="008A53DF">
      <w:pPr>
        <w:pStyle w:val="Equation"/>
      </w:pPr>
      <w:r w:rsidRPr="009B20E0">
        <w:tab/>
      </w:r>
      <w:r w:rsidR="0085226C">
        <w:rPr>
          <w:position w:val="-14"/>
        </w:rPr>
        <w:pict w14:anchorId="09F96696">
          <v:shape id="_x0000_i1035" type="#_x0000_t75" style="width:186.2pt;height:20.5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85226C">
        <w:rPr>
          <w:position w:val="-12"/>
        </w:rPr>
        <w:pict w14:anchorId="3FE14509">
          <v:shape id="_x0000_i1036" type="#_x0000_t75" style="width:30.75pt;height:19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85226C">
        <w:rPr>
          <w:position w:val="-16"/>
        </w:rPr>
        <w:pict w14:anchorId="40223B1E">
          <v:shape id="_x0000_i1037" type="#_x0000_t75" style="width:139.5pt;height:22.9pt" fillcolor="window">
            <v:imagedata r:id="rId27"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85226C">
        <w:rPr>
          <w:position w:val="-16"/>
        </w:rPr>
        <w:pict w14:anchorId="7C42C75C">
          <v:shape id="_x0000_i1038" type="#_x0000_t75" style="width:148.5pt;height:22.9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85226C">
        <w:rPr>
          <w:position w:val="-12"/>
        </w:rPr>
        <w:pict w14:anchorId="28E70FFB">
          <v:shape id="_x0000_i1039" type="#_x0000_t75" style="width:19pt;height:19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 xml:space="preserve">To facilitate future research, an attempt has been made to co-locate k-tables generated for various projects by the Nemesis modelling community. This k-tables are not currently part of the Nemesis/Radtrans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/home/jupiter/plan2/specdata</w:t>
      </w:r>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C2064B" w:rsidRDefault="00C2064B">
      <w:r>
        <w:separator/>
      </w:r>
    </w:p>
  </w:endnote>
  <w:endnote w:type="continuationSeparator" w:id="0">
    <w:p w14:paraId="5352745D" w14:textId="77777777" w:rsidR="00C2064B" w:rsidRDefault="00C2064B">
      <w:r>
        <w:continuationSeparator/>
      </w:r>
    </w:p>
  </w:endnote>
  <w:endnote w:type="continuationNotice" w:id="1">
    <w:p w14:paraId="57BD9D59" w14:textId="77777777" w:rsidR="00C2064B" w:rsidRDefault="00C206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7" w:usb1="00000000" w:usb2="00000000" w:usb3="00000000" w:csb0="00000011" w:csb1="00000000"/>
  </w:font>
  <w:font w:name="Cambria Math">
    <w:panose1 w:val="02040503050406030204"/>
    <w:charset w:val="00"/>
    <w:family w:val="auto"/>
    <w:pitch w:val="variable"/>
    <w:sig w:usb0="E00002FF" w:usb1="420024FF"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C2064B" w:rsidRDefault="00C2064B">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C2064B" w:rsidRDefault="00C2064B">
      <w:r>
        <w:separator/>
      </w:r>
    </w:p>
  </w:footnote>
  <w:footnote w:type="continuationSeparator" w:id="0">
    <w:p w14:paraId="59F1449E" w14:textId="77777777" w:rsidR="00C2064B" w:rsidRDefault="00C2064B">
      <w:r>
        <w:continuationSeparator/>
      </w:r>
    </w:p>
  </w:footnote>
  <w:footnote w:type="continuationNotice" w:id="1">
    <w:p w14:paraId="69927DE7" w14:textId="77777777" w:rsidR="00C2064B" w:rsidRDefault="00C2064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C2064B" w:rsidRDefault="00C2064B">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C2064B" w:rsidRDefault="00C2064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C2064B" w:rsidRDefault="00C2064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C2064B" w:rsidRDefault="00C2064B">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C2064B" w:rsidRDefault="00C2064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85226C">
      <w:rPr>
        <w:rStyle w:val="PageNumber"/>
        <w:rFonts w:ascii="Times New Roman" w:hAnsi="Times New Roman"/>
        <w:noProof/>
      </w:rPr>
      <w:t>14</w:t>
    </w:r>
    <w:r w:rsidRPr="00AB6BC8">
      <w:rPr>
        <w:rStyle w:val="PageNumber"/>
        <w:rFonts w:ascii="Times New Roman" w:hAnsi="Times New Roman"/>
      </w:rPr>
      <w:fldChar w:fldCharType="end"/>
    </w:r>
  </w:p>
  <w:p w14:paraId="718E19BB" w14:textId="77777777" w:rsidR="00C2064B" w:rsidRDefault="00C2064B">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32"/>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12473"/>
    <w:rsid w:val="00016E76"/>
    <w:rsid w:val="00026DB4"/>
    <w:rsid w:val="000507B4"/>
    <w:rsid w:val="000544E9"/>
    <w:rsid w:val="000601FE"/>
    <w:rsid w:val="0006449B"/>
    <w:rsid w:val="000737F8"/>
    <w:rsid w:val="0007587E"/>
    <w:rsid w:val="0011333C"/>
    <w:rsid w:val="00127052"/>
    <w:rsid w:val="001421CD"/>
    <w:rsid w:val="00187063"/>
    <w:rsid w:val="001C6676"/>
    <w:rsid w:val="001D1173"/>
    <w:rsid w:val="00216EC3"/>
    <w:rsid w:val="0022677A"/>
    <w:rsid w:val="00226874"/>
    <w:rsid w:val="00350C67"/>
    <w:rsid w:val="003612D1"/>
    <w:rsid w:val="003665D8"/>
    <w:rsid w:val="003868AB"/>
    <w:rsid w:val="003A1BC3"/>
    <w:rsid w:val="003B72A4"/>
    <w:rsid w:val="003F0BE3"/>
    <w:rsid w:val="004453B9"/>
    <w:rsid w:val="004477CC"/>
    <w:rsid w:val="00470BBA"/>
    <w:rsid w:val="004827FE"/>
    <w:rsid w:val="0048330B"/>
    <w:rsid w:val="004A3613"/>
    <w:rsid w:val="004F258B"/>
    <w:rsid w:val="004F32DF"/>
    <w:rsid w:val="004F4B8B"/>
    <w:rsid w:val="0057635B"/>
    <w:rsid w:val="005963B2"/>
    <w:rsid w:val="005A0F7D"/>
    <w:rsid w:val="005A285A"/>
    <w:rsid w:val="005B0CFB"/>
    <w:rsid w:val="005D762F"/>
    <w:rsid w:val="005F148B"/>
    <w:rsid w:val="006516A2"/>
    <w:rsid w:val="00656587"/>
    <w:rsid w:val="00670C49"/>
    <w:rsid w:val="00677C41"/>
    <w:rsid w:val="006A3303"/>
    <w:rsid w:val="006E6501"/>
    <w:rsid w:val="00706E2D"/>
    <w:rsid w:val="00735FF2"/>
    <w:rsid w:val="007444FF"/>
    <w:rsid w:val="00750771"/>
    <w:rsid w:val="007C3D14"/>
    <w:rsid w:val="007C69A9"/>
    <w:rsid w:val="0085226C"/>
    <w:rsid w:val="00860E4C"/>
    <w:rsid w:val="0088284D"/>
    <w:rsid w:val="00882CB0"/>
    <w:rsid w:val="008A53DF"/>
    <w:rsid w:val="009102D5"/>
    <w:rsid w:val="009653AA"/>
    <w:rsid w:val="009966E7"/>
    <w:rsid w:val="009A23ED"/>
    <w:rsid w:val="009F5484"/>
    <w:rsid w:val="00A22D00"/>
    <w:rsid w:val="00A625F9"/>
    <w:rsid w:val="00A640D5"/>
    <w:rsid w:val="00A67F12"/>
    <w:rsid w:val="00A81FB7"/>
    <w:rsid w:val="00A84AF5"/>
    <w:rsid w:val="00AB66D5"/>
    <w:rsid w:val="00AC4F8F"/>
    <w:rsid w:val="00AF314B"/>
    <w:rsid w:val="00B4295E"/>
    <w:rsid w:val="00B5189B"/>
    <w:rsid w:val="00B64FEB"/>
    <w:rsid w:val="00B748AB"/>
    <w:rsid w:val="00B805D2"/>
    <w:rsid w:val="00BF2499"/>
    <w:rsid w:val="00C07418"/>
    <w:rsid w:val="00C2064B"/>
    <w:rsid w:val="00C255F3"/>
    <w:rsid w:val="00C55D32"/>
    <w:rsid w:val="00CA0576"/>
    <w:rsid w:val="00D8720F"/>
    <w:rsid w:val="00DA2E1E"/>
    <w:rsid w:val="00DB6261"/>
    <w:rsid w:val="00DC53DE"/>
    <w:rsid w:val="00DE4CC6"/>
    <w:rsid w:val="00E06FE5"/>
    <w:rsid w:val="00E070BD"/>
    <w:rsid w:val="00E32D46"/>
    <w:rsid w:val="00E33C07"/>
    <w:rsid w:val="00E847A9"/>
    <w:rsid w:val="00E84C16"/>
    <w:rsid w:val="00EC0A48"/>
    <w:rsid w:val="00F60413"/>
    <w:rsid w:val="00F76D56"/>
    <w:rsid w:val="00F803D1"/>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2924D-B0CA-634D-9030-6D3F8A125D8A}">
  <ds:schemaRefs>
    <ds:schemaRef ds:uri="http://schemas.openxmlformats.org/officeDocument/2006/bibliography"/>
  </ds:schemaRefs>
</ds:datastoreItem>
</file>

<file path=customXml/itemProps2.xml><?xml version="1.0" encoding="utf-8"?>
<ds:datastoreItem xmlns:ds="http://schemas.openxmlformats.org/officeDocument/2006/customXml" ds:itemID="{461EC433-E0BC-F240-BC0C-FD07381023D5}">
  <ds:schemaRefs>
    <ds:schemaRef ds:uri="http://schemas.openxmlformats.org/officeDocument/2006/bibliography"/>
  </ds:schemaRefs>
</ds:datastoreItem>
</file>

<file path=customXml/itemProps3.xml><?xml version="1.0" encoding="utf-8"?>
<ds:datastoreItem xmlns:ds="http://schemas.openxmlformats.org/officeDocument/2006/customXml" ds:itemID="{A0E20424-DE7D-8A4D-9576-16EED8D68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34</Pages>
  <Words>10706</Words>
  <Characters>61028</Characters>
  <Application>Microsoft Macintosh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71591</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19</cp:revision>
  <cp:lastPrinted>2014-04-08T10:08:00Z</cp:lastPrinted>
  <dcterms:created xsi:type="dcterms:W3CDTF">2014-04-08T10:08:00Z</dcterms:created>
  <dcterms:modified xsi:type="dcterms:W3CDTF">2015-04-30T11:27:00Z</dcterms:modified>
</cp:coreProperties>
</file>