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028143BA"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C255F3">
        <w:rPr>
          <w:rFonts w:ascii="Times New Roman" w:hAnsi="Times New Roman"/>
          <w:b/>
        </w:rPr>
        <w:tab/>
        <w:t>Recent developments</w:t>
      </w:r>
      <w:r w:rsidR="00C255F3">
        <w:rPr>
          <w:rFonts w:ascii="Times New Roman" w:hAnsi="Times New Roman"/>
          <w:b/>
        </w:rPr>
        <w:tab/>
        <w:t>21</w:t>
      </w:r>
    </w:p>
    <w:p w14:paraId="76F3DD77" w14:textId="3235ADB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A625F9">
        <w:rPr>
          <w:rFonts w:ascii="Times New Roman" w:hAnsi="Times New Roman"/>
          <w:b/>
        </w:rPr>
        <w:t>21</w:t>
      </w:r>
    </w:p>
    <w:p w14:paraId="747A0C5C" w14:textId="3999C1B6"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A625F9">
        <w:rPr>
          <w:rFonts w:ascii="Times New Roman" w:hAnsi="Times New Roman"/>
          <w:b/>
        </w:rPr>
        <w:tab/>
        <w:t>21</w:t>
      </w:r>
    </w:p>
    <w:p w14:paraId="39CBCE76" w14:textId="27135184"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21</w:t>
      </w:r>
    </w:p>
    <w:p w14:paraId="33B88B67" w14:textId="1EE52C35" w:rsidR="000601FE" w:rsidRDefault="001C6676"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22</w:t>
      </w:r>
    </w:p>
    <w:p w14:paraId="49C8C33D" w14:textId="49B6CB3F" w:rsidR="000601FE" w:rsidRDefault="001C6676"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22</w:t>
      </w:r>
    </w:p>
    <w:p w14:paraId="590BC605" w14:textId="587A26A6"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22</w:t>
      </w:r>
    </w:p>
    <w:p w14:paraId="048409E8" w14:textId="0A6598F6"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1C6676">
        <w:rPr>
          <w:rFonts w:ascii="Times New Roman" w:hAnsi="Times New Roman"/>
          <w:b/>
        </w:rPr>
        <w:t>23</w:t>
      </w:r>
    </w:p>
    <w:p w14:paraId="587CBD81" w14:textId="6BF227F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1C6676">
        <w:rPr>
          <w:rFonts w:ascii="Times New Roman" w:hAnsi="Times New Roman"/>
          <w:b/>
        </w:rPr>
        <w:t>23</w:t>
      </w:r>
    </w:p>
    <w:p w14:paraId="447EEEDB" w14:textId="12B4F1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1C6676">
        <w:rPr>
          <w:rFonts w:ascii="Times New Roman" w:hAnsi="Times New Roman"/>
          <w:b/>
        </w:rPr>
        <w:t>23</w:t>
      </w:r>
    </w:p>
    <w:p w14:paraId="549E1E1A" w14:textId="0E5AEA6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1C6676">
        <w:rPr>
          <w:rFonts w:ascii="Times New Roman" w:hAnsi="Times New Roman"/>
          <w:b/>
        </w:rPr>
        <w:t>25</w:t>
      </w:r>
      <w:bookmarkStart w:id="0" w:name="_GoBack"/>
      <w:bookmarkEnd w:id="0"/>
    </w:p>
    <w:p w14:paraId="50F59D6B" w14:textId="06FFAD9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A625F9">
        <w:rPr>
          <w:rFonts w:ascii="Times New Roman" w:hAnsi="Times New Roman"/>
          <w:b/>
        </w:rPr>
        <w:t>25</w:t>
      </w:r>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670C4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55F3" w:rsidRPr="006B4AB9" w:rsidRDefault="00C255F3">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55F3" w:rsidRPr="006B4AB9" w:rsidRDefault="00C255F3">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55F3" w:rsidRPr="006B4AB9" w:rsidRDefault="00C255F3">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55F3" w:rsidRPr="006B4AB9" w:rsidRDefault="00C255F3">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55F3" w:rsidRPr="006B4AB9" w:rsidRDefault="00C255F3">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55F3" w:rsidRPr="006B4AB9" w:rsidRDefault="00C255F3">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135D97AC"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Pr>
          <w:rFonts w:ascii="Times New Roman" w:hAnsi="Times New Roman"/>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w:t>
      </w:r>
      <w:r>
        <w:rPr>
          <w:rFonts w:ascii="Times New Roman" w:hAnsi="Times New Roman"/>
        </w:rPr>
        <w:lastRenderedPageBreak/>
        <w:t xml:space="preserve">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670C4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3.2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670C49">
        <w:rPr>
          <w:position w:val="-18"/>
        </w:rPr>
        <w:pict w14:anchorId="34C00A39">
          <v:shape id="_x0000_i1027" type="#_x0000_t75" style="width:286.8pt;height:26.2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670C49">
        <w:rPr>
          <w:rFonts w:ascii="Times New Roman" w:hAnsi="Times New Roman"/>
          <w:position w:val="-12"/>
        </w:rPr>
        <w:pict w14:anchorId="465507D2">
          <v:shape id="_x0000_i1028" type="#_x0000_t75" style="width:14.05pt;height:20.1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670C49">
        <w:rPr>
          <w:rFonts w:ascii="Times New Roman" w:hAnsi="Times New Roman"/>
          <w:position w:val="-16"/>
        </w:rPr>
        <w:pict w14:anchorId="4719D855">
          <v:shape id="_x0000_i1029" type="#_x0000_t75" style="width:100.7pt;height:23.2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670C49" w:rsidP="008A53DF">
      <w:pPr>
        <w:jc w:val="center"/>
      </w:pPr>
      <w:r>
        <w:rPr>
          <w:position w:val="-16"/>
        </w:rPr>
        <w:pict w14:anchorId="458D14F0">
          <v:shape id="_x0000_i1030" type="#_x0000_t75" style="width:242.25pt;height:23.2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670C49" w:rsidP="008A53DF">
      <w:pPr>
        <w:jc w:val="center"/>
      </w:pPr>
      <w:r>
        <w:rPr>
          <w:position w:val="-16"/>
        </w:rPr>
        <w:pict w14:anchorId="50690FC8">
          <v:shape id="_x0000_i1031" type="#_x0000_t75" style="width:195.85pt;height:23.2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670C49">
        <w:rPr>
          <w:position w:val="-12"/>
        </w:rPr>
        <w:pict w14:anchorId="698F4844">
          <v:shape id="_x0000_i1032" type="#_x0000_t75" style="width:43.3pt;height:18.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670C49">
        <w:rPr>
          <w:position w:val="-12"/>
        </w:rPr>
        <w:pict w14:anchorId="38D44606">
          <v:shape id="_x0000_i1033" type="#_x0000_t75" style="width:43.3pt;height:18.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lastRenderedPageBreak/>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670C49">
        <w:rPr>
          <w:position w:val="-16"/>
        </w:rPr>
        <w:pict w14:anchorId="428F2E8B">
          <v:shape id="_x0000_i1034" type="#_x0000_t75" style="width:281.9pt;height:23.2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670C49">
        <w:rPr>
          <w:position w:val="-14"/>
        </w:rPr>
        <w:pict w14:anchorId="09F96696">
          <v:shape id="_x0000_i1035" type="#_x0000_t75" style="width:186.1pt;height:20.1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lastRenderedPageBreak/>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670C49">
        <w:rPr>
          <w:position w:val="-12"/>
        </w:rPr>
        <w:pict w14:anchorId="3FE14509">
          <v:shape id="_x0000_i1036" type="#_x0000_t75" style="width:31.75pt;height:18.3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670C49">
        <w:rPr>
          <w:position w:val="-16"/>
        </w:rPr>
        <w:pict w14:anchorId="40223B1E">
          <v:shape id="_x0000_i1037" type="#_x0000_t75" style="width:138.5pt;height:23.2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670C49">
        <w:rPr>
          <w:position w:val="-16"/>
        </w:rPr>
        <w:pict w14:anchorId="7C42C75C">
          <v:shape id="_x0000_i1038" type="#_x0000_t75" style="width:148.25pt;height:23.2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670C49">
        <w:rPr>
          <w:position w:val="-12"/>
        </w:rPr>
        <w:pict w14:anchorId="28E70FFB">
          <v:shape id="_x0000_i1039" type="#_x0000_t75" style="width:18.3pt;height:18.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C255F3" w:rsidRDefault="00C255F3">
      <w:r>
        <w:separator/>
      </w:r>
    </w:p>
  </w:endnote>
  <w:endnote w:type="continuationSeparator" w:id="0">
    <w:p w14:paraId="418B1D74" w14:textId="77777777" w:rsidR="00C255F3" w:rsidRDefault="00C2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55F3" w:rsidRDefault="00C255F3">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C255F3" w:rsidRDefault="00C255F3">
      <w:r>
        <w:separator/>
      </w:r>
    </w:p>
  </w:footnote>
  <w:footnote w:type="continuationSeparator" w:id="0">
    <w:p w14:paraId="4C78A00B" w14:textId="77777777" w:rsidR="00C255F3" w:rsidRDefault="00C255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55F3" w:rsidRDefault="00C255F3">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55F3" w:rsidRDefault="00C255F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55F3" w:rsidRDefault="00C255F3">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55F3" w:rsidRDefault="00C255F3">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55F3" w:rsidRDefault="00C255F3">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1C6676">
      <w:rPr>
        <w:rStyle w:val="PageNumber"/>
        <w:rFonts w:ascii="Times New Roman" w:hAnsi="Times New Roman"/>
        <w:noProof/>
      </w:rPr>
      <w:t>21</w:t>
    </w:r>
    <w:r w:rsidRPr="00AB6BC8">
      <w:rPr>
        <w:rStyle w:val="PageNumber"/>
        <w:rFonts w:ascii="Times New Roman" w:hAnsi="Times New Roman"/>
      </w:rPr>
      <w:fldChar w:fldCharType="end"/>
    </w:r>
  </w:p>
  <w:p w14:paraId="718E19BB" w14:textId="77777777" w:rsidR="00C255F3" w:rsidRDefault="00C255F3">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737F8"/>
    <w:rsid w:val="0011333C"/>
    <w:rsid w:val="00187063"/>
    <w:rsid w:val="001C6676"/>
    <w:rsid w:val="001D1173"/>
    <w:rsid w:val="003F0BE3"/>
    <w:rsid w:val="004827FE"/>
    <w:rsid w:val="004F258B"/>
    <w:rsid w:val="004F32DF"/>
    <w:rsid w:val="0057635B"/>
    <w:rsid w:val="005B0CFB"/>
    <w:rsid w:val="005F148B"/>
    <w:rsid w:val="00670C49"/>
    <w:rsid w:val="006E6501"/>
    <w:rsid w:val="00706E2D"/>
    <w:rsid w:val="007444FF"/>
    <w:rsid w:val="00750771"/>
    <w:rsid w:val="007C3D14"/>
    <w:rsid w:val="008A53DF"/>
    <w:rsid w:val="00A625F9"/>
    <w:rsid w:val="00B805D2"/>
    <w:rsid w:val="00C255F3"/>
    <w:rsid w:val="00C55D32"/>
    <w:rsid w:val="00D8720F"/>
    <w:rsid w:val="00DA2E1E"/>
    <w:rsid w:val="00DB6261"/>
    <w:rsid w:val="00DE4CC6"/>
    <w:rsid w:val="00E06FE5"/>
    <w:rsid w:val="00EC0A4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FC23-96E0-4C45-997A-7D66E13C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8567</Words>
  <Characters>48836</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57289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2013-01-21T10:58:00Z</cp:lastPrinted>
  <dcterms:created xsi:type="dcterms:W3CDTF">2013-01-21T10:58:00Z</dcterms:created>
  <dcterms:modified xsi:type="dcterms:W3CDTF">2013-01-21T10:59:00Z</dcterms:modified>
</cp:coreProperties>
</file>