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.cia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.fla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.rfl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.vpf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t>CIRSdrv_wave</w:t>
      </w:r>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t>Lbldrv_wave</w:t>
      </w:r>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Instrument lineshape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&lt;runname.cel&gt;</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 xml:space="preserve">Note that for model types with </w:t>
      </w:r>
      <w:r w:rsidR="003665D8" w:rsidRPr="003665D8">
        <w:rPr>
          <w:rFonts w:ascii="Times New Roman" w:hAnsi="Times New Roman"/>
          <w:b/>
        </w:rPr>
        <w:lastRenderedPageBreak/>
        <w:t>VARIDENT(IVAR,1)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&lt;runname&gt;.xsc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222 then the Uranus cloud layering scheme of Sromovsky et al. (2011) is used, which specifies 5 distinct cloud layers with 5 optical depths and 3 variable base pressures leading to 8 free parameters. The three lowest cloud decks a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P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w:t>
      </w:r>
      <w:r>
        <w:rPr>
          <w:rFonts w:ascii="Times New Roman" w:hAnsi="Times New Roman"/>
        </w:rPr>
        <w:lastRenderedPageBreak/>
        <w:t xml:space="preserve">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lastRenderedPageBreak/>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bookmarkStart w:id="0" w:name="_GoBack"/>
      <w:bookmarkEnd w:id="0"/>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A81FB7"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227F743C" w14:textId="0F9951AA"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zenith </w:t>
      </w:r>
      <w:r>
        <w:rPr>
          <w:rFonts w:ascii="Times New Roman" w:hAnsi="Times New Roman"/>
        </w:rPr>
        <w:lastRenderedPageBreak/>
        <w:t>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lastRenderedPageBreak/>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ortho/para fractions. For the usual CIA table format, NPARA should be set to </w:t>
      </w:r>
      <w:r>
        <w:rPr>
          <w:rFonts w:ascii="Times New Roman" w:hAnsi="Times New Roman"/>
        </w:rPr>
        <w:lastRenderedPageBreak/>
        <w:t>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0E74DCA" w14:textId="7FD6D771"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r>
        <w:rPr>
          <w:rFonts w:ascii="Times New Roman" w:hAnsi="Times New Roman"/>
        </w:rPr>
        <w:lastRenderedPageBreak/>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w:t>
      </w:r>
      <w:r>
        <w:rPr>
          <w:rFonts w:ascii="Times New Roman" w:hAnsi="Times New Roman"/>
        </w:rPr>
        <w:lastRenderedPageBreak/>
        <w:t xml:space="preserve">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w:t>
      </w:r>
      <w:r>
        <w:rPr>
          <w:rFonts w:ascii="Times New Roman" w:hAnsi="Times New Roman"/>
        </w:rPr>
        <w:lastRenderedPageBreak/>
        <w:t>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14:paraId="1E55A82B" w14:textId="5694D062" w:rsidR="00A84AF5" w:rsidRDefault="004477CC" w:rsidP="00A84AF5">
      <w:pPr>
        <w:jc w:val="both"/>
        <w:rPr>
          <w:rFonts w:ascii="Times New Roman" w:hAnsi="Times New Roman"/>
        </w:rPr>
      </w:pPr>
      <w:r w:rsidRPr="004477CC">
        <w:rPr>
          <w:rFonts w:ascii="Copperplate Gothic Light" w:hAnsi="Copperplate Gothic Light"/>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4477CC">
        <w:rPr>
          <w:rFonts w:ascii="Copperplate Gothic Light" w:hAnsi="Copperplate Gothic Light"/>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3D556BF" w14:textId="6C51F24D" w:rsidR="00A22D00" w:rsidRDefault="00A22D00" w:rsidP="00016E76">
      <w:pPr>
        <w:jc w:val="both"/>
        <w:rPr>
          <w:rFonts w:ascii="Times New Roman" w:hAnsi="Times New Roman"/>
        </w:rPr>
      </w:pPr>
      <w:r>
        <w:rPr>
          <w:rFonts w:ascii="Times New Roman" w:hAnsi="Times New Roman"/>
        </w:rPr>
        <w:lastRenderedPageBreak/>
        <w:t>1</w:t>
      </w:r>
      <w:r>
        <w:rPr>
          <w:rFonts w:ascii="Times New Roman" w:hAnsi="Times New Roman"/>
        </w:rPr>
        <w:tab/>
      </w:r>
      <w:r>
        <w:rPr>
          <w:rFonts w:ascii="Times New Roman" w:hAnsi="Times New Roman"/>
        </w:rPr>
        <w:tab/>
      </w:r>
      <w:r>
        <w:rPr>
          <w:rFonts w:ascii="Times New Roman" w:hAnsi="Times New Roman"/>
        </w:rPr>
        <w:tab/>
        <w:t>(iwave: 0=wavenumber, 1=wavelength)</w:t>
      </w:r>
    </w:p>
    <w:p w14:paraId="4A6DAB50" w14:textId="414FCF95"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14:paraId="2EF707D1" w14:textId="42D81B5A" w:rsidR="00A84AF5" w:rsidRPr="00C2064B" w:rsidRDefault="00C2064B" w:rsidP="00A84AF5">
      <w:pPr>
        <w:jc w:val="both"/>
        <w:rPr>
          <w:rFonts w:ascii="Times New Roman" w:hAnsi="Times New Roman"/>
        </w:rPr>
      </w:pPr>
      <w:r w:rsidRPr="00C2064B">
        <w:rPr>
          <w:rFonts w:ascii="Copperplate Gothic Light" w:hAnsi="Copperplate Gothic Light"/>
        </w:rPr>
        <w:t>Lbldrv_wave</w:t>
      </w:r>
      <w:r w:rsidRPr="00C2064B">
        <w:rPr>
          <w:rFonts w:ascii="Times New Roman" w:hAnsi="Times New Roman"/>
        </w:rPr>
        <w:t xml:space="preserve"> is exactly the same as </w:t>
      </w:r>
      <w:r w:rsidRPr="00C2064B">
        <w:rPr>
          <w:rFonts w:ascii="Copperplate Gothic Light" w:hAnsi="Copperplate Gothic Light"/>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A81FB7">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3pt;height:22.9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A81FB7">
        <w:rPr>
          <w:position w:val="-18"/>
        </w:rPr>
        <w:pict w14:anchorId="34C00A39">
          <v:shape id="_x0000_i1027" type="#_x0000_t75" style="width:4in;height:26.2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A81FB7">
        <w:rPr>
          <w:rFonts w:ascii="Times New Roman" w:hAnsi="Times New Roman"/>
          <w:position w:val="-12"/>
        </w:rPr>
        <w:pict w14:anchorId="465507D2">
          <v:shape id="_x0000_i1028" type="#_x0000_t75" style="width:12.65pt;height:20.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A81FB7">
        <w:rPr>
          <w:rFonts w:ascii="Times New Roman" w:hAnsi="Times New Roman"/>
          <w:position w:val="-16"/>
        </w:rPr>
        <w:pict w14:anchorId="4719D855">
          <v:shape id="_x0000_i1029" type="#_x0000_t75" style="width:100.6pt;height:22.9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A81FB7" w:rsidP="008A53DF">
      <w:pPr>
        <w:jc w:val="center"/>
      </w:pPr>
      <w:r>
        <w:rPr>
          <w:position w:val="-16"/>
        </w:rPr>
        <w:pict w14:anchorId="458D14F0">
          <v:shape id="_x0000_i1030" type="#_x0000_t75" style="width:242.2pt;height:22.9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A81FB7" w:rsidP="008A53DF">
      <w:pPr>
        <w:jc w:val="center"/>
      </w:pPr>
      <w:r>
        <w:rPr>
          <w:position w:val="-16"/>
        </w:rPr>
        <w:pict w14:anchorId="50690FC8">
          <v:shape id="_x0000_i1031" type="#_x0000_t75" style="width:195.5pt;height:22.9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A81FB7">
        <w:rPr>
          <w:position w:val="-12"/>
        </w:rPr>
        <w:pict w14:anchorId="698F4844">
          <v:shape id="_x0000_i1032" type="#_x0000_t75" style="width:43.4pt;height:19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81FB7">
        <w:rPr>
          <w:position w:val="-12"/>
        </w:rPr>
        <w:pict w14:anchorId="38D44606">
          <v:shape id="_x0000_i1033" type="#_x0000_t75" style="width:43.4pt;height:19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A81FB7">
        <w:rPr>
          <w:position w:val="-16"/>
        </w:rPr>
        <w:pict w14:anchorId="428F2E8B">
          <v:shape id="_x0000_i1034" type="#_x0000_t75" style="width:282.3pt;height:22.9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A81FB7">
        <w:rPr>
          <w:position w:val="-14"/>
        </w:rPr>
        <w:pict w14:anchorId="09F96696">
          <v:shape id="_x0000_i1035" type="#_x0000_t75" style="width:186.2pt;height:20.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81FB7">
        <w:rPr>
          <w:position w:val="-12"/>
        </w:rPr>
        <w:pict w14:anchorId="3FE14509">
          <v:shape id="_x0000_i1036" type="#_x0000_t75" style="width:30.75pt;height:19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A81FB7">
        <w:rPr>
          <w:position w:val="-16"/>
        </w:rPr>
        <w:pict w14:anchorId="40223B1E">
          <v:shape id="_x0000_i1037" type="#_x0000_t75" style="width:139.5pt;height:22.9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A81FB7">
        <w:rPr>
          <w:position w:val="-16"/>
        </w:rPr>
        <w:pict w14:anchorId="7C42C75C">
          <v:shape id="_x0000_i1038" type="#_x0000_t75" style="width:148.5pt;height:22.9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81FB7">
        <w:rPr>
          <w:position w:val="-12"/>
        </w:rPr>
        <w:pict w14:anchorId="28E70FFB">
          <v:shape id="_x0000_i1039" type="#_x0000_t75" style="width:19pt;height:19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81FB7">
      <w:rPr>
        <w:rStyle w:val="PageNumber"/>
        <w:rFonts w:ascii="Times New Roman" w:hAnsi="Times New Roman"/>
        <w:noProof/>
      </w:rPr>
      <w:t>23</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32"/>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35FF2"/>
    <w:rsid w:val="007444FF"/>
    <w:rsid w:val="00750771"/>
    <w:rsid w:val="007C3D14"/>
    <w:rsid w:val="007C69A9"/>
    <w:rsid w:val="00860E4C"/>
    <w:rsid w:val="0088284D"/>
    <w:rsid w:val="00882CB0"/>
    <w:rsid w:val="008A53DF"/>
    <w:rsid w:val="009102D5"/>
    <w:rsid w:val="009653AA"/>
    <w:rsid w:val="009966E7"/>
    <w:rsid w:val="009A23ED"/>
    <w:rsid w:val="009F5484"/>
    <w:rsid w:val="00A22D00"/>
    <w:rsid w:val="00A625F9"/>
    <w:rsid w:val="00A640D5"/>
    <w:rsid w:val="00A67F12"/>
    <w:rsid w:val="00A81FB7"/>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D4AC8-1DE4-C34E-BED3-00B4CCA400DC}">
  <ds:schemaRefs>
    <ds:schemaRef ds:uri="http://schemas.openxmlformats.org/officeDocument/2006/bibliography"/>
  </ds:schemaRefs>
</ds:datastoreItem>
</file>

<file path=customXml/itemProps2.xml><?xml version="1.0" encoding="utf-8"?>
<ds:datastoreItem xmlns:ds="http://schemas.openxmlformats.org/officeDocument/2006/customXml" ds:itemID="{5404C242-37E7-6647-B54B-9FEC23B7F199}">
  <ds:schemaRefs>
    <ds:schemaRef ds:uri="http://schemas.openxmlformats.org/officeDocument/2006/bibliography"/>
  </ds:schemaRefs>
</ds:datastoreItem>
</file>

<file path=customXml/itemProps3.xml><?xml version="1.0" encoding="utf-8"?>
<ds:datastoreItem xmlns:ds="http://schemas.openxmlformats.org/officeDocument/2006/customXml" ds:itemID="{C252924D-B0CA-634D-9030-6D3F8A125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34</Pages>
  <Words>10636</Words>
  <Characters>60626</Characters>
  <Application>Microsoft Macintosh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71120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18</cp:revision>
  <cp:lastPrinted>2014-04-08T10:08:00Z</cp:lastPrinted>
  <dcterms:created xsi:type="dcterms:W3CDTF">2014-04-08T10:08:00Z</dcterms:created>
  <dcterms:modified xsi:type="dcterms:W3CDTF">2015-04-30T10:08:00Z</dcterms:modified>
</cp:coreProperties>
</file>