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50A5A9AC" w14:textId="77777777" w:rsidR="008A53DF" w:rsidRDefault="008A53DF" w:rsidP="008A53DF">
      <w:pPr>
        <w:rPr>
          <w:rFonts w:ascii="Times New Roman" w:hAnsi="Times New Roman"/>
          <w:b/>
        </w:rPr>
      </w:pPr>
    </w:p>
    <w:p w14:paraId="7E6AFD4D" w14:textId="77777777" w:rsidR="008A53DF" w:rsidRDefault="008A53DF" w:rsidP="008A53DF">
      <w:pPr>
        <w:rPr>
          <w:rFonts w:ascii="Times New Roman" w:hAnsi="Times New Roman"/>
          <w:b/>
        </w:rPr>
      </w:pP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r>
      <w:r>
        <w:rPr>
          <w:rFonts w:ascii="Times New Roman" w:hAnsi="Times New Roman"/>
          <w:b/>
        </w:rPr>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79A4E0C4" w14:textId="77777777" w:rsidR="008A53DF" w:rsidRDefault="008A53DF" w:rsidP="008A53DF">
      <w:pPr>
        <w:tabs>
          <w:tab w:val="left" w:pos="1134"/>
          <w:tab w:val="left" w:pos="1843"/>
          <w:tab w:val="right" w:pos="7920"/>
        </w:tabs>
        <w:rPr>
          <w:rFonts w:ascii="Times New Roman" w:hAnsi="Times New Roman"/>
          <w:b/>
        </w:rPr>
      </w:pPr>
    </w:p>
    <w:p w14:paraId="454FC9AC" w14:textId="77777777" w:rsidR="008A53DF" w:rsidRDefault="008A53DF" w:rsidP="008A53DF">
      <w:pPr>
        <w:tabs>
          <w:tab w:val="left" w:pos="720"/>
          <w:tab w:val="left" w:pos="1440"/>
          <w:tab w:val="right" w:pos="7920"/>
        </w:tabs>
        <w:rPr>
          <w:rFonts w:ascii="Times New Roman" w:hAnsi="Times New Roman"/>
          <w:b/>
        </w:rPr>
      </w:pP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 xml:space="preserve">ired limiting relative humidity and whether the volatile is </w:t>
      </w:r>
      <w:r w:rsidR="00670C49">
        <w:rPr>
          <w:rFonts w:ascii="Times New Roman" w:hAnsi="Times New Roman"/>
        </w:rPr>
        <w:lastRenderedPageBreak/>
        <w:t>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A67F12"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lastRenderedPageBreak/>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w:t>
      </w:r>
      <w:r>
        <w:rPr>
          <w:rFonts w:ascii="Times New Roman" w:hAnsi="Times New Roman"/>
        </w:rPr>
        <w:lastRenderedPageBreak/>
        <w:t xml:space="preserve">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bookmarkStart w:id="0" w:name="_GoBack"/>
    </w:p>
    <w:bookmarkEnd w:id="0"/>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A67F12">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lastRenderedPageBreak/>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A67F12">
        <w:rPr>
          <w:position w:val="-18"/>
        </w:rPr>
        <w:pict w14:anchorId="34C00A39">
          <v:shape id="_x0000_i1027" type="#_x0000_t75" style="width:287pt;height:26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7F12">
        <w:rPr>
          <w:rFonts w:ascii="Times New Roman" w:hAnsi="Times New Roman"/>
          <w:position w:val="-12"/>
        </w:rPr>
        <w:pict w14:anchorId="465507D2">
          <v:shape id="_x0000_i1028" type="#_x0000_t75" style="width:14pt;height:20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A67F12">
        <w:rPr>
          <w:rFonts w:ascii="Times New Roman" w:hAnsi="Times New Roman"/>
          <w:position w:val="-16"/>
        </w:rPr>
        <w:pict w14:anchorId="4719D855">
          <v:shape id="_x0000_i1029" type="#_x0000_t75" style="width:101pt;height:23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A67F12" w:rsidP="008A53DF">
      <w:pPr>
        <w:jc w:val="center"/>
      </w:pPr>
      <w:r>
        <w:rPr>
          <w:position w:val="-16"/>
        </w:rPr>
        <w:pict w14:anchorId="458D14F0">
          <v:shape id="_x0000_i1030" type="#_x0000_t75" style="width:242pt;height:23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A67F12" w:rsidP="008A53DF">
      <w:pPr>
        <w:jc w:val="center"/>
      </w:pPr>
      <w:r>
        <w:rPr>
          <w:position w:val="-16"/>
        </w:rPr>
        <w:pict w14:anchorId="50690FC8">
          <v:shape id="_x0000_i1031" type="#_x0000_t75" style="width:196pt;height:23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A67F12">
        <w:rPr>
          <w:position w:val="-12"/>
        </w:rPr>
        <w:pict w14:anchorId="698F4844">
          <v:shape id="_x0000_i1032" type="#_x0000_t75" style="width:43pt;height:19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7F12">
        <w:rPr>
          <w:position w:val="-12"/>
        </w:rPr>
        <w:pict w14:anchorId="38D44606">
          <v:shape id="_x0000_i1033" type="#_x0000_t75" style="width:43pt;height:19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lastRenderedPageBreak/>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A67F12">
        <w:rPr>
          <w:position w:val="-16"/>
        </w:rPr>
        <w:pict w14:anchorId="428F2E8B">
          <v:shape id="_x0000_i1034" type="#_x0000_t75" style="width:282pt;height:23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A67F12">
        <w:rPr>
          <w:position w:val="-14"/>
        </w:rPr>
        <w:pict w14:anchorId="09F96696">
          <v:shape id="_x0000_i1035" type="#_x0000_t75" style="width:186pt;height:20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7F12">
        <w:rPr>
          <w:position w:val="-12"/>
        </w:rPr>
        <w:pict w14:anchorId="3FE14509">
          <v:shape id="_x0000_i1036" type="#_x0000_t75" style="width:31pt;height:19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lastRenderedPageBreak/>
        <w:tab/>
      </w:r>
      <w:r w:rsidR="00A67F12">
        <w:rPr>
          <w:position w:val="-16"/>
        </w:rPr>
        <w:pict w14:anchorId="40223B1E">
          <v:shape id="_x0000_i1037" type="#_x0000_t75" style="width:139pt;height:23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tab/>
      </w:r>
      <w:r w:rsidR="00A67F12">
        <w:rPr>
          <w:position w:val="-16"/>
        </w:rPr>
        <w:pict w14:anchorId="7C42C75C">
          <v:shape id="_x0000_i1038" type="#_x0000_t75" style="width:148pt;height:23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7F12">
        <w:rPr>
          <w:position w:val="-12"/>
        </w:rPr>
        <w:pict w14:anchorId="28E70FFB">
          <v:shape id="_x0000_i1039" type="#_x0000_t75" style="width:19pt;height:19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9A23ED">
      <w:rPr>
        <w:rStyle w:val="PageNumber"/>
        <w:rFonts w:ascii="Times New Roman" w:hAnsi="Times New Roman"/>
        <w:noProof/>
      </w:rPr>
      <w:t>23</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507B4"/>
    <w:rsid w:val="000601FE"/>
    <w:rsid w:val="0006449B"/>
    <w:rsid w:val="000737F8"/>
    <w:rsid w:val="0011333C"/>
    <w:rsid w:val="001421CD"/>
    <w:rsid w:val="00187063"/>
    <w:rsid w:val="001C6676"/>
    <w:rsid w:val="001D1173"/>
    <w:rsid w:val="003F0BE3"/>
    <w:rsid w:val="004827FE"/>
    <w:rsid w:val="004F258B"/>
    <w:rsid w:val="004F32DF"/>
    <w:rsid w:val="004F4B8B"/>
    <w:rsid w:val="0057635B"/>
    <w:rsid w:val="005B0CFB"/>
    <w:rsid w:val="005F148B"/>
    <w:rsid w:val="00670C49"/>
    <w:rsid w:val="006E6501"/>
    <w:rsid w:val="00706E2D"/>
    <w:rsid w:val="007444FF"/>
    <w:rsid w:val="00750771"/>
    <w:rsid w:val="007C3D14"/>
    <w:rsid w:val="0088284D"/>
    <w:rsid w:val="008A53DF"/>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BC35C-CE6B-3843-9AF1-F718BE6C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8978</Words>
  <Characters>51178</Characters>
  <Application>Microsoft Macintosh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60036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4</cp:revision>
  <cp:lastPrinted>2013-01-22T16:55:00Z</cp:lastPrinted>
  <dcterms:created xsi:type="dcterms:W3CDTF">2013-01-22T16:55:00Z</dcterms:created>
  <dcterms:modified xsi:type="dcterms:W3CDTF">2013-01-22T16:55:00Z</dcterms:modified>
</cp:coreProperties>
</file>