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 xml:space="preserve">DOCUMENT </w:t>
            </w:r>
            <w:ins w:id="0" w:author="Patrick Irwin" w:date="2014-04-01T12:32:00Z">
              <w:r>
                <w:rPr>
                  <w:rFonts w:ascii="Times New Roman" w:hAnsi="Times New Roman"/>
                </w:rPr>
                <w:t>TITLE</w:t>
              </w:r>
            </w:ins>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w:t>
      </w:r>
      <w:proofErr w:type="spellStart"/>
      <w:r w:rsidR="00A625F9">
        <w:rPr>
          <w:rFonts w:ascii="Times New Roman" w:hAnsi="Times New Roman"/>
          <w:b/>
        </w:rPr>
        <w:t>cia</w:t>
      </w:r>
      <w:proofErr w:type="spellEnd"/>
      <w:r w:rsidR="00A625F9">
        <w:rPr>
          <w:rFonts w:ascii="Times New Roman" w:hAnsi="Times New Roman"/>
          <w:b/>
        </w:rPr>
        <w:t xml:space="preserve">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w:t>
      </w:r>
      <w:proofErr w:type="spellStart"/>
      <w:r w:rsidR="00A625F9">
        <w:rPr>
          <w:rFonts w:ascii="Times New Roman" w:hAnsi="Times New Roman"/>
          <w:b/>
        </w:rPr>
        <w:t>fla</w:t>
      </w:r>
      <w:proofErr w:type="spellEnd"/>
      <w:r w:rsidR="00A625F9">
        <w:rPr>
          <w:rFonts w:ascii="Times New Roman" w:hAnsi="Times New Roman"/>
          <w:b/>
        </w:rPr>
        <w:t xml:space="preserve">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w:t>
      </w:r>
      <w:proofErr w:type="spellStart"/>
      <w:r w:rsidR="00A625F9">
        <w:rPr>
          <w:rFonts w:ascii="Times New Roman" w:hAnsi="Times New Roman"/>
          <w:b/>
        </w:rPr>
        <w:t>rfl</w:t>
      </w:r>
      <w:proofErr w:type="spellEnd"/>
      <w:r w:rsidR="00A625F9">
        <w:rPr>
          <w:rFonts w:ascii="Times New Roman" w:hAnsi="Times New Roman"/>
          <w:b/>
        </w:rPr>
        <w:t xml:space="preserve">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w:t>
      </w:r>
      <w:proofErr w:type="spellStart"/>
      <w:r>
        <w:rPr>
          <w:rFonts w:ascii="Times New Roman" w:hAnsi="Times New Roman"/>
          <w:b/>
        </w:rPr>
        <w:t>vpf</w:t>
      </w:r>
      <w:proofErr w:type="spellEnd"/>
      <w:r>
        <w:rPr>
          <w:rFonts w:ascii="Times New Roman" w:hAnsi="Times New Roman"/>
          <w:b/>
        </w:rPr>
        <w:t xml:space="preserve">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8ED81D"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through the INUMERIC flag (See section 3.2). The numeric differentiation </w:t>
      </w:r>
      <w:r w:rsidR="005D762F">
        <w:rPr>
          <w:rFonts w:ascii="Times New Roman" w:hAnsi="Times New Roman"/>
        </w:rPr>
        <w:lastRenderedPageBreak/>
        <w:t>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58449546" w:rsidR="000544E9" w:rsidRDefault="000544E9" w:rsidP="000544E9">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r>
        <w:rPr>
          <w:rFonts w:ascii="Times New Roman" w:hAnsi="Times New Roman"/>
        </w:rPr>
        <w:t>cel</w:t>
      </w:r>
      <w:proofErr w:type="spellEnd"/>
      <w:proofErr w:type="gramEnd"/>
      <w:r>
        <w:rPr>
          <w:rFonts w:ascii="Times New Roman" w:hAnsi="Times New Roman"/>
        </w:rPr>
        <w:t>&gt;</w:t>
      </w:r>
      <w:r>
        <w:rPr>
          <w:rFonts w:ascii="Times New Roman" w:hAnsi="Times New Roman"/>
        </w:rPr>
        <w:tab/>
        <w:t xml:space="preserve">If present, this file lists </w:t>
      </w:r>
      <w:r>
        <w:rPr>
          <w:rFonts w:ascii="Times New Roman" w:hAnsi="Times New Roman"/>
        </w:rPr>
        <w:t xml:space="preserve">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lastRenderedPageBreak/>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04E3D151" w14:textId="77777777" w:rsidR="008A53DF" w:rsidRPr="009F5484"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Line 2 contains the mean radius of the particle size distribution and error (assumes standard size distribution), while line 3 gives the variance of the size distribution and error. Line 4 gives the number of wavelengths/wavenumbers for which imaginary refractive index spectrum is tabulated, together with the correlation length of this a priori spectrum. Line 5 gives a reference wavelength/wavenumber and the value of the real part of the refractive index at that reference. Line 6 gives the wavelength/wavenumber to which the extinction cross-section spectrum should be </w:t>
      </w:r>
      <w:proofErr w:type="gramStart"/>
      <w:r w:rsidRPr="009F5484">
        <w:rPr>
          <w:rFonts w:ascii="Times New Roman" w:hAnsi="Times New Roman"/>
        </w:rPr>
        <w:t>normalised to.</w:t>
      </w:r>
      <w:proofErr w:type="gramEnd"/>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w:t>
      </w:r>
      <w:r>
        <w:rPr>
          <w:rFonts w:ascii="Times New Roman" w:hAnsi="Times New Roman"/>
        </w:rPr>
        <w:lastRenderedPageBreak/>
        <w:t xml:space="preserve">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w:t>
      </w:r>
      <w:r>
        <w:rPr>
          <w:rFonts w:ascii="Times New Roman" w:hAnsi="Times New Roman"/>
        </w:rPr>
        <w:lastRenderedPageBreak/>
        <w:t xml:space="preserve">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w:t>
      </w:r>
      <w:ins w:id="1" w:author="Patrick Irwin" w:date="2014-04-01T12:32:00Z">
        <w:r w:rsidR="00656587">
          <w:rPr>
            <w:rFonts w:ascii="Times New Roman" w:hAnsi="Times New Roman"/>
          </w:rPr>
          <w:t>= 3,</w:t>
        </w:r>
      </w:ins>
      <w:r w:rsidR="00656587">
        <w:rPr>
          <w:rFonts w:ascii="Times New Roman" w:hAnsi="Times New Roman"/>
        </w:rPr>
        <w:t xml:space="preserve"> then </w:t>
      </w:r>
      <w:ins w:id="2" w:author="Patrick Irwin" w:date="2014-04-01T12:32:00Z">
        <w:r w:rsidR="00656587">
          <w:rPr>
            <w:rFonts w:ascii="Times New Roman" w:hAnsi="Times New Roman"/>
          </w:rPr>
          <w:t xml:space="preserve">the calculation is performed with </w:t>
        </w:r>
      </w:ins>
      <w:r w:rsidR="00656587">
        <w:rPr>
          <w:rFonts w:ascii="Times New Roman" w:hAnsi="Times New Roman"/>
        </w:rPr>
        <w:t>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w:t>
      </w:r>
      <w:r>
        <w:rPr>
          <w:rFonts w:ascii="Times New Roman" w:hAnsi="Times New Roman"/>
        </w:rPr>
        <w:lastRenderedPageBreak/>
        <w:t xml:space="preserve">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52A808A" w:rsidR="008A53DF" w:rsidRDefault="000544E9"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ins w:id="3" w:author="Patrick Irwin" w:date="2014-04-01T12:32:00Z"/>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 xml:space="preserve">gas can </w:t>
      </w:r>
      <w:r w:rsidRPr="00670C49">
        <w:rPr>
          <w:rFonts w:ascii="Times New Roman" w:hAnsi="Times New Roman"/>
          <w:szCs w:val="24"/>
          <w:lang w:val="en-US"/>
        </w:rPr>
        <w:lastRenderedPageBreak/>
        <w:t>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w:t>
      </w:r>
      <w:r>
        <w:rPr>
          <w:rFonts w:ascii="Times New Roman" w:hAnsi="Times New Roman"/>
        </w:rPr>
        <w:t>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w:t>
      </w:r>
      <w:r>
        <w:rPr>
          <w:rFonts w:ascii="Times New Roman" w:hAnsi="Times New Roman"/>
        </w:rPr>
        <w:lastRenderedPageBreak/>
        <w:t xml:space="preserve">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w:t>
      </w:r>
      <w:r>
        <w:rPr>
          <w:rFonts w:ascii="Times New Roman" w:hAnsi="Times New Roman"/>
        </w:rPr>
        <w:lastRenderedPageBreak/>
        <w:t xml:space="preserve">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checks to</w:t>
      </w:r>
      <w:bookmarkStart w:id="4" w:name="_GoBack"/>
      <w:bookmarkEnd w:id="4"/>
      <w:r>
        <w:rPr>
          <w:rFonts w:ascii="Times New Roman" w:hAnsi="Times New Roman"/>
        </w:rPr>
        <w:t xml:space="preserve">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ins w:id="5" w:author="Patrick Irwin" w:date="2014-04-01T12:32:00Z">
        <w:r w:rsidR="000544E9">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15pt;height:23.3pt" fillcolor="window">
              <v:imagedata r:id="rId16" o:title=""/>
            </v:shape>
          </w:pict>
        </w:r>
      </w:ins>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ins w:id="6" w:author="Patrick Irwin" w:date="2014-04-01T12:32:00Z">
        <w:r w:rsidR="000544E9">
          <w:rPr>
            <w:position w:val="-18"/>
          </w:rPr>
          <w:pict w14:anchorId="34C00A39">
            <v:shape id="_x0000_i1027" type="#_x0000_t75" style="width:287.6pt;height:26.2pt" fillcolor="window">
              <v:imagedata r:id="rId17" o:title=""/>
            </v:shape>
          </w:pict>
        </w:r>
      </w:ins>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ins w:id="7" w:author="Patrick Irwin" w:date="2014-04-01T12:32:00Z">
        <w:r w:rsidR="000544E9">
          <w:rPr>
            <w:rFonts w:ascii="Times New Roman" w:hAnsi="Times New Roman"/>
            <w:position w:val="-12"/>
          </w:rPr>
          <w:pict w14:anchorId="465507D2">
            <v:shape id="_x0000_i1028" type="#_x0000_t75" style="width:12.9pt;height:20.4pt">
              <v:imagedata r:id="rId18" o:title=""/>
            </v:shape>
          </w:pict>
        </w:r>
      </w:ins>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ins w:id="8" w:author="Patrick Irwin" w:date="2014-04-01T12:32:00Z">
        <w:r w:rsidR="000544E9">
          <w:rPr>
            <w:rFonts w:ascii="Times New Roman" w:hAnsi="Times New Roman"/>
            <w:position w:val="-16"/>
          </w:rPr>
          <w:pict w14:anchorId="4719D855">
            <v:shape id="_x0000_i1029" type="#_x0000_t75" style="width:100.7pt;height:23.3pt">
              <v:imagedata r:id="rId19" o:title=""/>
            </v:shape>
          </w:pict>
        </w:r>
      </w:ins>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0544E9" w:rsidP="008A53DF">
      <w:pPr>
        <w:jc w:val="center"/>
        <w:rPr>
          <w:ins w:id="9" w:author="Patrick Irwin" w:date="2014-04-01T12:32:00Z"/>
        </w:rPr>
      </w:pPr>
      <w:ins w:id="10" w:author="Patrick Irwin" w:date="2014-04-01T12:32:00Z">
        <w:r>
          <w:rPr>
            <w:position w:val="-16"/>
          </w:rPr>
          <w:pict w14:anchorId="458D14F0">
            <v:shape id="_x0000_i1030" type="#_x0000_t75" style="width:242.2pt;height:23.3pt" fillcolor="window">
              <v:imagedata r:id="rId20" o:title=""/>
            </v:shape>
          </w:pict>
        </w:r>
      </w:ins>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0544E9" w:rsidP="008A53DF">
      <w:pPr>
        <w:jc w:val="center"/>
        <w:rPr>
          <w:ins w:id="11" w:author="Patrick Irwin" w:date="2014-04-01T12:32:00Z"/>
        </w:rPr>
      </w:pPr>
      <w:ins w:id="12" w:author="Patrick Irwin" w:date="2014-04-01T12:32:00Z">
        <w:r>
          <w:rPr>
            <w:position w:val="-16"/>
          </w:rPr>
          <w:pict w14:anchorId="50690FC8">
            <v:shape id="_x0000_i1031" type="#_x0000_t75" style="width:196pt;height:23.3pt" fillcolor="window">
              <v:imagedata r:id="rId21" o:title=""/>
            </v:shape>
          </w:pict>
        </w:r>
      </w:ins>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ins w:id="13" w:author="Patrick Irwin" w:date="2014-04-01T12:32:00Z">
        <w:r w:rsidR="000544E9">
          <w:rPr>
            <w:position w:val="-12"/>
          </w:rPr>
          <w:pict w14:anchorId="698F4844">
            <v:shape id="_x0000_i1032" type="#_x0000_t75" style="width:43.3pt;height:18.75pt" fillcolor="window">
              <v:imagedata r:id="rId22" o:title=""/>
            </v:shape>
          </w:pict>
        </w:r>
      </w:ins>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ins w:id="14" w:author="Patrick Irwin" w:date="2014-04-01T12:32:00Z">
        <w:r w:rsidR="000544E9">
          <w:rPr>
            <w:position w:val="-12"/>
          </w:rPr>
          <w:pict w14:anchorId="38D44606">
            <v:shape id="_x0000_i1033" type="#_x0000_t75" style="width:43.3pt;height:18.75pt" fillcolor="window">
              <v:imagedata r:id="rId23" o:title=""/>
            </v:shape>
          </w:pict>
        </w:r>
      </w:ins>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lastRenderedPageBreak/>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ins w:id="15" w:author="Patrick Irwin" w:date="2014-04-01T12:32:00Z">
        <w:r w:rsidR="000544E9">
          <w:rPr>
            <w:position w:val="-16"/>
          </w:rPr>
          <w:pict w14:anchorId="428F2E8B">
            <v:shape id="_x0000_i1034" type="#_x0000_t75" style="width:282.15pt;height:23.3pt" fillcolor="window">
              <v:imagedata r:id="rId24" o:title=""/>
            </v:shape>
          </w:pict>
        </w:r>
      </w:ins>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ins w:id="16" w:author="Patrick Irwin" w:date="2014-04-01T12:32:00Z">
        <w:r w:rsidR="000544E9">
          <w:rPr>
            <w:position w:val="-14"/>
          </w:rPr>
          <w:pict w14:anchorId="09F96696">
            <v:shape id="_x0000_i1035" type="#_x0000_t75" style="width:186.05pt;height:20.4pt" fillcolor="window">
              <v:imagedata r:id="rId25" o:title=""/>
            </v:shape>
          </w:pict>
        </w:r>
      </w:ins>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ins w:id="17" w:author="Patrick Irwin" w:date="2014-04-01T12:32:00Z">
        <w:r w:rsidR="000544E9">
          <w:rPr>
            <w:position w:val="-12"/>
          </w:rPr>
          <w:pict w14:anchorId="3FE14509">
            <v:shape id="_x0000_i1036" type="#_x0000_t75" style="width:31.2pt;height:18.75pt" fillcolor="window">
              <v:imagedata r:id="rId26" o:title=""/>
            </v:shape>
          </w:pict>
        </w:r>
      </w:ins>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lastRenderedPageBreak/>
        <w:tab/>
      </w:r>
      <w:ins w:id="18" w:author="Patrick Irwin" w:date="2014-04-01T12:32:00Z">
        <w:r w:rsidR="000544E9">
          <w:rPr>
            <w:position w:val="-16"/>
          </w:rPr>
          <w:pict w14:anchorId="40223B1E">
            <v:shape id="_x0000_i1037" type="#_x0000_t75" style="width:139pt;height:23.3pt" fillcolor="window">
              <v:imagedata r:id="rId27" o:title=""/>
            </v:shape>
          </w:pict>
        </w:r>
      </w:ins>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tab/>
      </w:r>
      <w:ins w:id="19" w:author="Patrick Irwin" w:date="2014-04-01T12:32:00Z">
        <w:r w:rsidR="000544E9">
          <w:rPr>
            <w:position w:val="-16"/>
          </w:rPr>
          <w:pict w14:anchorId="7C42C75C">
            <v:shape id="_x0000_i1038" type="#_x0000_t75" style="width:148.6pt;height:23.3pt" fillcolor="window">
              <v:imagedata r:id="rId28" o:title=""/>
            </v:shape>
          </w:pict>
        </w:r>
      </w:ins>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ins w:id="20" w:author="Patrick Irwin" w:date="2014-04-01T12:32:00Z">
        <w:r w:rsidR="000544E9">
          <w:rPr>
            <w:position w:val="-12"/>
          </w:rPr>
          <w:pict w14:anchorId="28E70FFB">
            <v:shape id="_x0000_i1039" type="#_x0000_t75" style="width:18.75pt;height:18.75pt" fillcolor="window">
              <v:imagedata r:id="rId29" o:title=""/>
            </v:shape>
          </w:pict>
        </w:r>
      </w:ins>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0544E9">
      <w:rPr>
        <w:rStyle w:val="PageNumber"/>
        <w:rFonts w:ascii="Times New Roman" w:hAnsi="Times New Roman"/>
        <w:noProof/>
      </w:rPr>
      <w:t>28</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11333C"/>
    <w:rsid w:val="001421CD"/>
    <w:rsid w:val="00187063"/>
    <w:rsid w:val="001C6676"/>
    <w:rsid w:val="001D1173"/>
    <w:rsid w:val="00226874"/>
    <w:rsid w:val="003612D1"/>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A53DF"/>
    <w:rsid w:val="009102D5"/>
    <w:rsid w:val="009653AA"/>
    <w:rsid w:val="009966E7"/>
    <w:rsid w:val="009A23ED"/>
    <w:rsid w:val="009F5484"/>
    <w:rsid w:val="00A625F9"/>
    <w:rsid w:val="00A640D5"/>
    <w:rsid w:val="00A67F12"/>
    <w:rsid w:val="00AB66D5"/>
    <w:rsid w:val="00AC4F8F"/>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9CAB8-1DC0-EF4E-9BA8-C7FFF0A99104}">
  <ds:schemaRefs>
    <ds:schemaRef ds:uri="http://schemas.openxmlformats.org/officeDocument/2006/bibliography"/>
  </ds:schemaRefs>
</ds:datastoreItem>
</file>

<file path=customXml/itemProps2.xml><?xml version="1.0" encoding="utf-8"?>
<ds:datastoreItem xmlns:ds="http://schemas.openxmlformats.org/officeDocument/2006/customXml" ds:itemID="{97DC7EF0-ABE7-3743-BB37-16EE78DC6567}">
  <ds:schemaRefs>
    <ds:schemaRef ds:uri="http://schemas.openxmlformats.org/officeDocument/2006/bibliography"/>
  </ds:schemaRefs>
</ds:datastoreItem>
</file>

<file path=customXml/itemProps3.xml><?xml version="1.0" encoding="utf-8"?>
<ds:datastoreItem xmlns:ds="http://schemas.openxmlformats.org/officeDocument/2006/customXml" ds:itemID="{783241AC-92A8-D345-86E6-63194FE6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32</Pages>
  <Words>9637</Words>
  <Characters>54937</Characters>
  <Application>Microsoft Macintosh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64446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cp:revision>
  <cp:lastPrinted>2013-01-22T16:55:00Z</cp:lastPrinted>
  <dcterms:created xsi:type="dcterms:W3CDTF">2013-01-22T16:55:00Z</dcterms:created>
  <dcterms:modified xsi:type="dcterms:W3CDTF">2014-04-01T11:44:00Z</dcterms:modified>
</cp:coreProperties>
</file>