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2B72262"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4B98BF96" w14:textId="66AEC864"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DFAB529" w14:textId="5A4A8668"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5604AD4D" w14:textId="78133B10"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0C7940C9" w14:textId="14CDDB9D" w:rsidR="004F615E" w:rsidRDefault="004F615E" w:rsidP="008A53DF">
            <w:pPr>
              <w:rPr>
                <w:rFonts w:ascii="Times New Roman" w:hAnsi="Times New Roman"/>
                <w:sz w:val="20"/>
              </w:rPr>
            </w:pPr>
            <w:r>
              <w:rPr>
                <w:rFonts w:ascii="Times New Roman" w:hAnsi="Times New Roman"/>
                <w:sz w:val="20"/>
              </w:rPr>
              <w:t>Addition of pre-tabulated LBL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639C6622"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64A186D0"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0207144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3A4811DA"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D2B16FB" w14:textId="79E1A1B2" w:rsidR="008A53DF" w:rsidRDefault="004F615E" w:rsidP="00EC0A48">
            <w:pPr>
              <w:jc w:val="right"/>
              <w:rPr>
                <w:rFonts w:ascii="Times New Roman" w:hAnsi="Times New Roman"/>
              </w:rPr>
            </w:pPr>
            <w:r>
              <w:rPr>
                <w:rFonts w:ascii="Times New Roman" w:hAnsi="Times New Roman"/>
              </w:rPr>
              <w:t>JPL</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0BE80744"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3A2A2BA3" w:rsidR="008A53DF" w:rsidRDefault="004F615E" w:rsidP="00EC0A48">
            <w:pPr>
              <w:jc w:val="right"/>
              <w:rPr>
                <w:rFonts w:ascii="Times New Roman" w:hAnsi="Times New Roman"/>
              </w:rPr>
            </w:pPr>
            <w:r>
              <w:rPr>
                <w:rFonts w:ascii="Times New Roman" w:hAnsi="Times New Roman"/>
              </w:rPr>
              <w:t>Leicester</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DC825B9"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14:paraId="2AD0D827" w14:textId="025C34AE" w:rsidR="008A53DF" w:rsidRDefault="004F615E" w:rsidP="00EC0A48">
            <w:pPr>
              <w:jc w:val="right"/>
              <w:rPr>
                <w:rFonts w:ascii="Times New Roman" w:hAnsi="Times New Roman"/>
              </w:rPr>
            </w:pPr>
            <w:r>
              <w:rPr>
                <w:rFonts w:ascii="Times New Roman" w:hAnsi="Times New Roman"/>
              </w:rPr>
              <w:t>Oxford</w:t>
            </w:r>
          </w:p>
        </w:tc>
      </w:tr>
      <w:tr w:rsidR="008A53DF" w14:paraId="13F443B8" w14:textId="77777777" w:rsidTr="004F615E">
        <w:trPr>
          <w:cantSplit/>
        </w:trPr>
        <w:tc>
          <w:tcPr>
            <w:tcW w:w="432" w:type="dxa"/>
            <w:tcBorders>
              <w:left w:val="single" w:sz="6" w:space="0" w:color="auto"/>
              <w:right w:val="single" w:sz="6" w:space="0" w:color="auto"/>
            </w:tcBorders>
          </w:tcPr>
          <w:p w14:paraId="29C44249" w14:textId="7ED8F0D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2FA317" w14:textId="40BD91E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3908883" w14:textId="43931CE4"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AD1FDA8" w14:textId="407E3791"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4FCD75F" w14:textId="51DC8A3C"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14:paraId="12DF19FA" w14:textId="14B00A0C" w:rsidR="008A53DF" w:rsidRDefault="004F615E" w:rsidP="00EC0A48">
            <w:pPr>
              <w:jc w:val="right"/>
              <w:rPr>
                <w:rFonts w:ascii="Times New Roman" w:hAnsi="Times New Roman"/>
              </w:rPr>
            </w:pPr>
            <w:r>
              <w:rPr>
                <w:rFonts w:ascii="Times New Roman" w:hAnsi="Times New Roman"/>
              </w:rPr>
              <w:t>Oxford</w:t>
            </w:r>
          </w:p>
        </w:tc>
      </w:tr>
      <w:tr w:rsidR="004F615E" w14:paraId="158CB3DB" w14:textId="77777777" w:rsidTr="004F615E">
        <w:trPr>
          <w:cantSplit/>
        </w:trPr>
        <w:tc>
          <w:tcPr>
            <w:tcW w:w="432" w:type="dxa"/>
            <w:tcBorders>
              <w:left w:val="single" w:sz="6" w:space="0" w:color="auto"/>
              <w:right w:val="single" w:sz="6" w:space="0" w:color="auto"/>
            </w:tcBorders>
          </w:tcPr>
          <w:p w14:paraId="205BDFC5" w14:textId="45267AE9"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FA43F09" w14:textId="70461030"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14:paraId="5B133E7E" w14:textId="4AE7EF95"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0C515C4A" w14:textId="3EDF0191"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84E47AB" w14:textId="0C4BFABC"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5E203B38" w14:textId="59DEB6B7" w:rsidR="004F615E" w:rsidRDefault="004F615E" w:rsidP="00EC0A48">
            <w:pPr>
              <w:jc w:val="right"/>
              <w:rPr>
                <w:rFonts w:ascii="Times New Roman" w:hAnsi="Times New Roman"/>
              </w:rPr>
            </w:pPr>
            <w:r>
              <w:rPr>
                <w:rFonts w:ascii="Times New Roman" w:hAnsi="Times New Roman"/>
              </w:rPr>
              <w:t>JPL</w:t>
            </w:r>
          </w:p>
        </w:tc>
      </w:tr>
      <w:tr w:rsidR="004F615E" w14:paraId="2C4E1A6D" w14:textId="77777777">
        <w:trPr>
          <w:cantSplit/>
        </w:trPr>
        <w:tc>
          <w:tcPr>
            <w:tcW w:w="432" w:type="dxa"/>
            <w:tcBorders>
              <w:left w:val="single" w:sz="6" w:space="0" w:color="auto"/>
              <w:bottom w:val="single" w:sz="6" w:space="0" w:color="auto"/>
              <w:right w:val="single" w:sz="6" w:space="0" w:color="auto"/>
            </w:tcBorders>
          </w:tcPr>
          <w:p w14:paraId="098B4DE9" w14:textId="4B589526"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4038A428" w14:textId="6B0F27BE"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14:paraId="57FE7B6E" w14:textId="3F748189"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58D21030"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0DC3EA7E"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0078A37" w14:textId="77777777" w:rsidR="004F615E" w:rsidRDefault="004F615E"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.cia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.rfl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.vpf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t>NemesisL</w:t>
      </w:r>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t>NemesisMCS</w:t>
      </w:r>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t>Nemesisdisc</w:t>
      </w:r>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t>NemesisPT</w:t>
      </w:r>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t>CIRSdrv_wave</w:t>
      </w:r>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5C46D686"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14:paraId="46F2653C" w14:textId="24A0CBD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5D09201D"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6EF96B78" w14:textId="77777777" w:rsidR="008A53DF" w:rsidRDefault="008A53DF" w:rsidP="008A53DF">
      <w:pPr>
        <w:ind w:left="2835" w:hanging="1701"/>
        <w:jc w:val="both"/>
        <w:rPr>
          <w:rFonts w:ascii="Times New Roman" w:hAnsi="Times New Roman"/>
        </w:rPr>
      </w:pPr>
    </w:p>
    <w:p w14:paraId="57E32973" w14:textId="11A3D475"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40BA063B" w14:textId="77777777" w:rsidR="00954334" w:rsidRDefault="00954334" w:rsidP="00954334">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6E86A80"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61C2C1F" w14:textId="77777777" w:rsidR="00EC0A48" w:rsidRDefault="00EC0A48" w:rsidP="008A53DF">
      <w:pPr>
        <w:ind w:left="2835" w:hanging="1701"/>
        <w:jc w:val="both"/>
        <w:rPr>
          <w:rFonts w:ascii="Times New Roman" w:hAnsi="Times New Roman"/>
        </w:rPr>
      </w:pPr>
    </w:p>
    <w:p w14:paraId="41D57482" w14:textId="0F11D880"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1CEE0A2"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5B9570B6"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330DF8C8"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09726581"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6F195FC0"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7615F1F8"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DB5F397" w14:textId="77777777" w:rsidR="00954334" w:rsidRDefault="00954334" w:rsidP="000544E9">
      <w:pPr>
        <w:ind w:left="2835" w:hanging="1701"/>
        <w:jc w:val="both"/>
        <w:rPr>
          <w:rFonts w:ascii="Times New Roman" w:hAnsi="Times New Roman"/>
        </w:rPr>
      </w:pPr>
    </w:p>
    <w:p w14:paraId="054EE307" w14:textId="1F414978"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84EE25C" w14:textId="77777777" w:rsidR="00954334" w:rsidRDefault="00954334" w:rsidP="000544E9">
      <w:pPr>
        <w:ind w:left="2835" w:hanging="1701"/>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lastRenderedPageBreak/>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2B633873"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156F85E" w14:textId="6472DA1B"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&lt;runname&gt;.xsc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lastRenderedPageBreak/>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lastRenderedPageBreak/>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w:t>
      </w:r>
      <w:r>
        <w:rPr>
          <w:rFonts w:ascii="Times New Roman" w:hAnsi="Times New Roman"/>
          <w:color w:val="000000"/>
        </w:rPr>
        <w:lastRenderedPageBreak/>
        <w:t xml:space="preserve">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820FA5D"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lastRenderedPageBreak/>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2A50D9E5" w14:textId="77777777" w:rsidR="002421A2" w:rsidRDefault="002421A2" w:rsidP="002421A2">
      <w:pPr>
        <w:pStyle w:val="ListParagraph"/>
        <w:numPr>
          <w:ilvl w:val="0"/>
          <w:numId w:val="42"/>
        </w:numPr>
        <w:jc w:val="both"/>
        <w:rPr>
          <w:rFonts w:ascii="Times New Roman" w:hAnsi="Times New Roman"/>
        </w:rPr>
      </w:pPr>
      <w:r>
        <w:rPr>
          <w:rFonts w:ascii="Times New Roman" w:hAnsi="Times New Roman"/>
        </w:rPr>
        <w:t>Temperature profile after Robinson and Catling (2012). Input parameters:</w:t>
      </w:r>
    </w:p>
    <w:p w14:paraId="1BAC0E45" w14:textId="77777777" w:rsidR="002421A2" w:rsidRDefault="002421A2" w:rsidP="002421A2">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40898E32" w14:textId="13ECFDB1" w:rsidR="002421A2" w:rsidRDefault="002421A2" w:rsidP="002421A2">
      <w:pPr>
        <w:pStyle w:val="ListParagraph"/>
        <w:numPr>
          <w:ilvl w:val="1"/>
          <w:numId w:val="42"/>
        </w:numPr>
        <w:jc w:val="both"/>
        <w:rPr>
          <w:rFonts w:ascii="Times New Roman" w:hAnsi="Times New Roman"/>
        </w:rPr>
      </w:pPr>
      <w:r>
        <w:rPr>
          <w:rFonts w:ascii="Times New Roman" w:hAnsi="Times New Roman"/>
        </w:rPr>
        <w:t>n</w:t>
      </w:r>
      <w:r>
        <w:rPr>
          <w:rFonts w:ascii="Times New Roman" w:hAnsi="Times New Roman"/>
        </w:rPr>
        <w:tab/>
        <w:t>tau depends on pressure as tau=tau0*(p/p0)</w:t>
      </w:r>
      <w:r w:rsidRPr="002421A2">
        <w:rPr>
          <w:rFonts w:ascii="Times New Roman" w:hAnsi="Times New Roman"/>
          <w:vertAlign w:val="superscript"/>
        </w:rPr>
        <w:t>n</w:t>
      </w:r>
      <w:r>
        <w:rPr>
          <w:rFonts w:ascii="Times New Roman" w:hAnsi="Times New Roman"/>
        </w:rPr>
        <w:t xml:space="preserve"> </w:t>
      </w:r>
    </w:p>
    <w:p w14:paraId="05CD30CB" w14:textId="397A1FAD" w:rsidR="002421A2" w:rsidRDefault="002421A2" w:rsidP="002421A2">
      <w:pPr>
        <w:pStyle w:val="ListParagraph"/>
        <w:numPr>
          <w:ilvl w:val="1"/>
          <w:numId w:val="42"/>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BD585C8" w14:textId="63D65270" w:rsidR="002421A2" w:rsidRPr="004B6DB9" w:rsidRDefault="002421A2" w:rsidP="002421A2">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0F0CA5A6" w14:textId="27D25C6E" w:rsidR="004B6DB9" w:rsidRDefault="004B6DB9" w:rsidP="002421A2">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302573A5" w14:textId="27A74EDD" w:rsidR="004B6DB9" w:rsidRPr="004B6DB9" w:rsidRDefault="004B6DB9" w:rsidP="004B6DB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bookmarkStart w:id="0" w:name="_GoBack"/>
      <w:bookmarkEnd w:id="0"/>
    </w:p>
    <w:p w14:paraId="2431B8B3" w14:textId="77777777" w:rsidR="002421A2" w:rsidRDefault="002421A2" w:rsidP="008A53DF">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w:t>
      </w:r>
      <w:r w:rsidR="00656587">
        <w:rPr>
          <w:rFonts w:ascii="Times New Roman" w:hAnsi="Times New Roman"/>
        </w:rPr>
        <w:lastRenderedPageBreak/>
        <w:t xml:space="preserve">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39C34E60"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4EB49A21" w14:textId="77777777" w:rsidR="008A53DF" w:rsidRDefault="008A53DF" w:rsidP="008A53DF">
      <w:pPr>
        <w:jc w:val="both"/>
        <w:rPr>
          <w:rFonts w:ascii="Times New Roman" w:hAnsi="Times New Roman"/>
        </w:rPr>
      </w:pPr>
    </w:p>
    <w:p w14:paraId="0189BEA8" w14:textId="4E15CFD5"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14A284A1"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lastRenderedPageBreak/>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2421A2"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2421A2" w:rsidRPr="000544E9" w:rsidRDefault="002421A2">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2421A2" w:rsidRPr="000544E9" w:rsidRDefault="002421A2">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2421A2" w:rsidRPr="000544E9" w:rsidRDefault="002421A2">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2421A2" w:rsidRPr="006B4AB9" w:rsidRDefault="002421A2">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2421A2" w:rsidRPr="006B4AB9" w:rsidRDefault="002421A2">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2421A2" w:rsidRPr="006B4AB9" w:rsidRDefault="002421A2">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lastRenderedPageBreak/>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D2AE7D7"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0E74DCA" w14:textId="7FD6D771"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lastRenderedPageBreak/>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3977CB92"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w:t>
      </w:r>
      <w:r>
        <w:rPr>
          <w:rFonts w:ascii="Times New Roman" w:hAnsi="Times New Roman"/>
        </w:rPr>
        <w:lastRenderedPageBreak/>
        <w:t>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35D2EDA7" w14:textId="1A57A81B"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14:paraId="66BA7642" w14:textId="77777777" w:rsidR="00954334" w:rsidRDefault="00954334" w:rsidP="008A53DF">
      <w:pPr>
        <w:jc w:val="both"/>
        <w:outlineLvl w:val="0"/>
        <w:rPr>
          <w:rFonts w:ascii="Times New Roman" w:hAnsi="Times New Roman"/>
          <w:b/>
        </w:rPr>
      </w:pPr>
    </w:p>
    <w:p w14:paraId="7EF35393" w14:textId="7FC5A8F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6FBB055"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60A8A9B5" w14:textId="40CE2D9E"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0F0ED447" w14:textId="77777777" w:rsidR="00954334" w:rsidRDefault="00954334" w:rsidP="008A53DF">
      <w:pPr>
        <w:jc w:val="both"/>
        <w:outlineLvl w:val="0"/>
        <w:rPr>
          <w:rFonts w:ascii="Times New Roman" w:hAnsi="Times New Roman"/>
          <w:b/>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14:paraId="1E55A82B" w14:textId="5694D062" w:rsidR="00A84AF5" w:rsidRDefault="004477CC" w:rsidP="00A84AF5">
      <w:pPr>
        <w:jc w:val="both"/>
        <w:rPr>
          <w:rFonts w:ascii="Times New Roman" w:hAnsi="Times New Roman"/>
        </w:rPr>
      </w:pPr>
      <w:r w:rsidRPr="004477CC">
        <w:rPr>
          <w:rFonts w:ascii="Copperplate Gothic Light" w:hAnsi="Copperplate Gothic Light"/>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4477CC">
        <w:rPr>
          <w:rFonts w:ascii="Copperplate Gothic Light" w:hAnsi="Copperplate Gothic Light"/>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4A6DAB50" w14:textId="414FCF95"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lastRenderedPageBreak/>
        <w:t>8.6</w:t>
      </w:r>
      <w:r w:rsidRPr="00255FCD">
        <w:rPr>
          <w:rFonts w:ascii="Times New Roman" w:hAnsi="Times New Roman"/>
          <w:b/>
        </w:rPr>
        <w:t xml:space="preserve"> </w:t>
      </w:r>
      <w:r>
        <w:rPr>
          <w:rFonts w:ascii="Times New Roman" w:hAnsi="Times New Roman"/>
          <w:b/>
        </w:rPr>
        <w:t>Lbldrv_wave</w:t>
      </w:r>
    </w:p>
    <w:p w14:paraId="2EF707D1" w14:textId="42D81B5A" w:rsidR="00A84AF5" w:rsidRPr="00C2064B" w:rsidRDefault="00C2064B" w:rsidP="00A84AF5">
      <w:pPr>
        <w:jc w:val="both"/>
        <w:rPr>
          <w:rFonts w:ascii="Times New Roman" w:hAnsi="Times New Roman"/>
        </w:rPr>
      </w:pPr>
      <w:r w:rsidRPr="00C2064B">
        <w:rPr>
          <w:rFonts w:ascii="Copperplate Gothic Light" w:hAnsi="Copperplate Gothic Light"/>
        </w:rPr>
        <w:t>Lbldrv_wave</w:t>
      </w:r>
      <w:r w:rsidRPr="00C2064B">
        <w:rPr>
          <w:rFonts w:ascii="Times New Roman" w:hAnsi="Times New Roman"/>
        </w:rPr>
        <w:t xml:space="preserve"> is exactly the same as </w:t>
      </w:r>
      <w:r w:rsidRPr="00C2064B">
        <w:rPr>
          <w:rFonts w:ascii="Copperplate Gothic Light" w:hAnsi="Copperplate Gothic Light"/>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2421A2">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35pt;height:23.3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2421A2">
        <w:rPr>
          <w:position w:val="-18"/>
        </w:rPr>
        <w:pict w14:anchorId="34C00A39">
          <v:shape id="_x0000_i1027" type="#_x0000_t75" style="width:4in;height:26.1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2421A2">
        <w:rPr>
          <w:rFonts w:ascii="Times New Roman" w:hAnsi="Times New Roman"/>
          <w:position w:val="-12"/>
        </w:rPr>
        <w:pict w14:anchorId="465507D2">
          <v:shape id="_x0000_i1028" type="#_x0000_t75" style="width:12.7pt;height:19.7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2421A2">
        <w:rPr>
          <w:rFonts w:ascii="Times New Roman" w:hAnsi="Times New Roman"/>
          <w:position w:val="-16"/>
        </w:rPr>
        <w:pict w14:anchorId="4719D855">
          <v:shape id="_x0000_i1029" type="#_x0000_t75" style="width:100.25pt;height:23.3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2421A2" w:rsidP="008A53DF">
      <w:pPr>
        <w:jc w:val="center"/>
      </w:pPr>
      <w:r>
        <w:rPr>
          <w:position w:val="-16"/>
        </w:rPr>
        <w:pict w14:anchorId="458D14F0">
          <v:shape id="_x0000_i1030" type="#_x0000_t75" style="width:242.1pt;height:23.3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2421A2" w:rsidP="008A53DF">
      <w:pPr>
        <w:jc w:val="center"/>
      </w:pPr>
      <w:r>
        <w:rPr>
          <w:position w:val="-16"/>
        </w:rPr>
        <w:pict w14:anchorId="50690FC8">
          <v:shape id="_x0000_i1031" type="#_x0000_t75" style="width:196.25pt;height:23.3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2421A2">
        <w:rPr>
          <w:position w:val="-12"/>
        </w:rPr>
        <w:pict w14:anchorId="698F4844">
          <v:shape id="_x0000_i1032" type="#_x0000_t75" style="width:43.75pt;height:18.3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2421A2">
        <w:rPr>
          <w:position w:val="-12"/>
        </w:rPr>
        <w:pict w14:anchorId="38D44606">
          <v:shape id="_x0000_i1033" type="#_x0000_t75" style="width:43.75pt;height:18.3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2421A2">
        <w:rPr>
          <w:position w:val="-16"/>
        </w:rPr>
        <w:pict w14:anchorId="428F2E8B">
          <v:shape id="_x0000_i1034" type="#_x0000_t75" style="width:282.35pt;height:23.3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2421A2">
        <w:rPr>
          <w:position w:val="-14"/>
        </w:rPr>
        <w:pict w14:anchorId="09F96696">
          <v:shape id="_x0000_i1035" type="#_x0000_t75" style="width:186.35pt;height:19.7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2421A2">
        <w:rPr>
          <w:position w:val="-12"/>
        </w:rPr>
        <w:pict w14:anchorId="3FE14509">
          <v:shape id="_x0000_i1036" type="#_x0000_t75" style="width:30.35pt;height:18.3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2421A2">
        <w:rPr>
          <w:position w:val="-16"/>
        </w:rPr>
        <w:pict w14:anchorId="40223B1E">
          <v:shape id="_x0000_i1037" type="#_x0000_t75" style="width:139.75pt;height:23.3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2421A2">
        <w:rPr>
          <w:position w:val="-16"/>
        </w:rPr>
        <w:pict w14:anchorId="7C42C75C">
          <v:shape id="_x0000_i1038" type="#_x0000_t75" style="width:148.25pt;height:23.3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2421A2">
        <w:rPr>
          <w:position w:val="-12"/>
        </w:rPr>
        <w:pict w14:anchorId="28E70FFB">
          <v:shape id="_x0000_i1039" type="#_x0000_t75" style="width:18.35pt;height:18.3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If VARIDENT(IVAR,1)=0,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lastRenderedPageBreak/>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2421A2" w:rsidRDefault="002421A2">
      <w:r>
        <w:separator/>
      </w:r>
    </w:p>
  </w:endnote>
  <w:endnote w:type="continuationSeparator" w:id="0">
    <w:p w14:paraId="5352745D" w14:textId="77777777" w:rsidR="002421A2" w:rsidRDefault="002421A2">
      <w:r>
        <w:continuationSeparator/>
      </w:r>
    </w:p>
  </w:endnote>
  <w:endnote w:type="continuationNotice" w:id="1">
    <w:p w14:paraId="57BD9D59" w14:textId="77777777" w:rsidR="002421A2" w:rsidRDefault="00242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2421A2" w:rsidRDefault="002421A2">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2421A2" w:rsidRDefault="002421A2">
      <w:r>
        <w:separator/>
      </w:r>
    </w:p>
  </w:footnote>
  <w:footnote w:type="continuationSeparator" w:id="0">
    <w:p w14:paraId="59F1449E" w14:textId="77777777" w:rsidR="002421A2" w:rsidRDefault="002421A2">
      <w:r>
        <w:continuationSeparator/>
      </w:r>
    </w:p>
  </w:footnote>
  <w:footnote w:type="continuationNotice" w:id="1">
    <w:p w14:paraId="69927DE7" w14:textId="77777777" w:rsidR="002421A2" w:rsidRDefault="002421A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2421A2" w:rsidRDefault="002421A2">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2421A2" w:rsidRDefault="002421A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2421A2" w:rsidRDefault="002421A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2421A2" w:rsidRDefault="002421A2">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2421A2" w:rsidRDefault="002421A2">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4B6DB9">
      <w:rPr>
        <w:rStyle w:val="PageNumber"/>
        <w:rFonts w:ascii="Times New Roman" w:hAnsi="Times New Roman"/>
        <w:noProof/>
      </w:rPr>
      <w:t>16</w:t>
    </w:r>
    <w:r w:rsidRPr="00AB6BC8">
      <w:rPr>
        <w:rStyle w:val="PageNumber"/>
        <w:rFonts w:ascii="Times New Roman" w:hAnsi="Times New Roman"/>
      </w:rPr>
      <w:fldChar w:fldCharType="end"/>
    </w:r>
  </w:p>
  <w:p w14:paraId="718E19BB" w14:textId="77777777" w:rsidR="002421A2" w:rsidRDefault="002421A2">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7">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9">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9"/>
  </w:num>
  <w:num w:numId="24">
    <w:abstractNumId w:val="30"/>
  </w:num>
  <w:num w:numId="25">
    <w:abstractNumId w:val="18"/>
  </w:num>
  <w:num w:numId="26">
    <w:abstractNumId w:val="20"/>
  </w:num>
  <w:num w:numId="27">
    <w:abstractNumId w:val="28"/>
  </w:num>
  <w:num w:numId="28">
    <w:abstractNumId w:val="15"/>
  </w:num>
  <w:num w:numId="29">
    <w:abstractNumId w:val="37"/>
  </w:num>
  <w:num w:numId="30">
    <w:abstractNumId w:val="36"/>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8"/>
  </w:num>
  <w:num w:numId="43">
    <w:abstractNumId w:val="29"/>
  </w:num>
  <w:num w:numId="44">
    <w:abstractNumId w:val="25"/>
  </w:num>
  <w:num w:numId="45">
    <w:abstractNumId w:val="35"/>
  </w:num>
  <w:num w:numId="46">
    <w:abstractNumId w:val="1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421A2"/>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22D00"/>
    <w:rsid w:val="00A625F9"/>
    <w:rsid w:val="00A640D5"/>
    <w:rsid w:val="00A67F12"/>
    <w:rsid w:val="00A81FB7"/>
    <w:rsid w:val="00A84AF5"/>
    <w:rsid w:val="00AB66D5"/>
    <w:rsid w:val="00AC4F8F"/>
    <w:rsid w:val="00AD3C04"/>
    <w:rsid w:val="00AE0903"/>
    <w:rsid w:val="00AF21E5"/>
    <w:rsid w:val="00AF314B"/>
    <w:rsid w:val="00B4295E"/>
    <w:rsid w:val="00B5189B"/>
    <w:rsid w:val="00B64FEB"/>
    <w:rsid w:val="00B748AB"/>
    <w:rsid w:val="00B805D2"/>
    <w:rsid w:val="00BF2499"/>
    <w:rsid w:val="00C07418"/>
    <w:rsid w:val="00C2064B"/>
    <w:rsid w:val="00C255F3"/>
    <w:rsid w:val="00C55D32"/>
    <w:rsid w:val="00C777EB"/>
    <w:rsid w:val="00CA0576"/>
    <w:rsid w:val="00D10E73"/>
    <w:rsid w:val="00D2669C"/>
    <w:rsid w:val="00D8720F"/>
    <w:rsid w:val="00DA2E1E"/>
    <w:rsid w:val="00DB6261"/>
    <w:rsid w:val="00DC53DE"/>
    <w:rsid w:val="00DE4CC6"/>
    <w:rsid w:val="00E06FE5"/>
    <w:rsid w:val="00E070BD"/>
    <w:rsid w:val="00E32D46"/>
    <w:rsid w:val="00E33C07"/>
    <w:rsid w:val="00E73E34"/>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95AC9-1E07-B549-937B-A4A1076B0047}">
  <ds:schemaRefs>
    <ds:schemaRef ds:uri="http://schemas.openxmlformats.org/officeDocument/2006/bibliography"/>
  </ds:schemaRefs>
</ds:datastoreItem>
</file>

<file path=customXml/itemProps2.xml><?xml version="1.0" encoding="utf-8"?>
<ds:datastoreItem xmlns:ds="http://schemas.openxmlformats.org/officeDocument/2006/customXml" ds:itemID="{4CFEA770-0645-0A48-8F79-8223E7DFB4CD}">
  <ds:schemaRefs>
    <ds:schemaRef ds:uri="http://schemas.openxmlformats.org/officeDocument/2006/bibliography"/>
  </ds:schemaRefs>
</ds:datastoreItem>
</file>

<file path=customXml/itemProps3.xml><?xml version="1.0" encoding="utf-8"?>
<ds:datastoreItem xmlns:ds="http://schemas.openxmlformats.org/officeDocument/2006/customXml" ds:itemID="{C7987565-A8C1-154B-8274-2DCBD806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38</Pages>
  <Words>12081</Words>
  <Characters>68865</Characters>
  <Application>Microsoft Macintosh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80785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4</cp:revision>
  <cp:lastPrinted>2015-11-17T11:37:00Z</cp:lastPrinted>
  <dcterms:created xsi:type="dcterms:W3CDTF">2017-02-09T14:54:00Z</dcterms:created>
  <dcterms:modified xsi:type="dcterms:W3CDTF">2017-05-27T09:57:00Z</dcterms:modified>
</cp:coreProperties>
</file>