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t>
      </w:r>
      <w:proofErr w:type="spellStart"/>
      <w:r w:rsidR="00B5189B">
        <w:rPr>
          <w:rFonts w:ascii="Times New Roman" w:hAnsi="Times New Roman"/>
        </w:rPr>
        <w:t>Wavenumber</w:t>
      </w:r>
      <w:proofErr w:type="spellEnd"/>
      <w:r w:rsidR="00B5189B">
        <w:rPr>
          <w:rFonts w:ascii="Times New Roman" w:hAnsi="Times New Roman"/>
        </w:rPr>
        <w:t xml:space="preserve">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t>
      </w:r>
      <w:proofErr w:type="spellStart"/>
      <w:r>
        <w:rPr>
          <w:rFonts w:ascii="Times New Roman" w:hAnsi="Times New Roman"/>
        </w:rPr>
        <w:t>Wavenumber</w:t>
      </w:r>
      <w:proofErr w:type="spellEnd"/>
      <w:r>
        <w:rPr>
          <w:rFonts w:ascii="Times New Roman" w:hAnsi="Times New Roman"/>
        </w:rPr>
        <w:t xml:space="preserve">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w:t>
      </w:r>
      <w:proofErr w:type="gramEnd"/>
      <w:r w:rsidRPr="00C55D32">
        <w:rPr>
          <w:rFonts w:ascii="Times New Roman" w:hAnsi="Times New Roman"/>
        </w:rPr>
        <w:t xml:space="preserve">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w:t>
      </w:r>
      <w:proofErr w:type="spellStart"/>
      <w:r w:rsidRPr="00514A47">
        <w:rPr>
          <w:szCs w:val="24"/>
          <w:lang w:eastAsia="en-GB"/>
        </w:rPr>
        <w:t>Charon</w:t>
      </w:r>
      <w:proofErr w:type="spellEnd"/>
      <w:r w:rsidRPr="00514A47">
        <w:rPr>
          <w:szCs w:val="24"/>
          <w:lang w:eastAsia="en-GB"/>
        </w:rPr>
        <w:t xml:space="preserve">,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w:t>
      </w:r>
      <w:r w:rsidRPr="00514A47">
        <w:rPr>
          <w:rFonts w:ascii="Times New Roman" w:hAnsi="Times New Roman"/>
          <w:szCs w:val="24"/>
          <w:lang w:eastAsia="en-GB"/>
        </w:rPr>
        <w:lastRenderedPageBreak/>
        <w:t xml:space="preserve">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abo</w:t>
      </w:r>
      <w:proofErr w:type="spell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t>
      </w:r>
      <w:proofErr w:type="spellStart"/>
      <w:r>
        <w:rPr>
          <w:rFonts w:ascii="Times New Roman" w:hAnsi="Times New Roman"/>
        </w:rPr>
        <w:t>wavenumber</w:t>
      </w:r>
      <w:proofErr w:type="spellEnd"/>
      <w:r>
        <w:rPr>
          <w:rFonts w:ascii="Times New Roman" w:hAnsi="Times New Roman"/>
        </w:rPr>
        <w:t xml:space="preserve">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hgphase</w:t>
      </w:r>
      <w:proofErr w:type="spell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lastRenderedPageBreak/>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lastRenderedPageBreak/>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xml:space="preserve">; when set to 1 the imaginary refractive index spectrum of the particle 'shell' is retrieved while the corresponding imaginary refractive index of the particle 'core' is fixed, and </w:t>
      </w:r>
      <w:r w:rsidRPr="001069DE">
        <w:rPr>
          <w:rFonts w:ascii="Times New Roman" w:hAnsi="Times New Roman"/>
        </w:rPr>
        <w:lastRenderedPageBreak/>
        <w:t xml:space="preserve">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6C4E1F" w:rsidRDefault="00FF6D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1"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2" w:author="Patrick Irwin" w:date="2017-07-06T12:06:00Z">
        <w:r w:rsidR="001069DE" w:rsidRPr="001069DE">
          <w:rPr>
            <w:rFonts w:ascii="Times New Roman" w:hAnsi="Times New Roman"/>
          </w:rPr>
          <w:delText>parametrisation and is hence just</w:delText>
        </w:r>
      </w:del>
      <w:ins w:id="3"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4"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6C4E1F" w:rsidRDefault="008A53DF" w:rsidP="008A53DF">
      <w:pPr>
        <w:ind w:left="709" w:hanging="425"/>
        <w:jc w:val="both"/>
        <w:rPr>
          <w:rFonts w:ascii="Times New Roman" w:hAnsi="Times New Roman"/>
          <w:lang w:val="de-DE"/>
        </w:rPr>
      </w:pPr>
      <w:r>
        <w:rPr>
          <w:rFonts w:ascii="Times New Roman" w:hAnsi="Times New Roman"/>
        </w:rPr>
        <w:tab/>
      </w:r>
      <w:r>
        <w:rPr>
          <w:rFonts w:ascii="Times New Roman" w:hAnsi="Times New Roman"/>
        </w:rPr>
        <w:tab/>
      </w:r>
      <w:r>
        <w:rPr>
          <w:rFonts w:ascii="Times New Roman" w:hAnsi="Times New Roman"/>
        </w:rPr>
        <w:tab/>
      </w:r>
      <w:r w:rsidRPr="006C4E1F">
        <w:rPr>
          <w:rFonts w:ascii="Times New Roman" w:hAnsi="Times New Roman"/>
          <w:lang w:val="de-DE"/>
        </w:rPr>
        <w:t xml:space="preserve">P(1) </w:t>
      </w:r>
      <w:r w:rsidRPr="006C4E1F">
        <w:rPr>
          <w:rFonts w:ascii="Times New Roman" w:hAnsi="Times New Roman"/>
          <w:lang w:val="de-DE"/>
        </w:rPr>
        <w:tab/>
        <w:t>X(1)</w:t>
      </w:r>
      <w:r w:rsidRPr="006C4E1F">
        <w:rPr>
          <w:rFonts w:ascii="Times New Roman" w:hAnsi="Times New Roman"/>
          <w:lang w:val="de-DE"/>
        </w:rPr>
        <w:tab/>
        <w:t>ERR(1)</w:t>
      </w:r>
    </w:p>
    <w:p w:rsidR="008A53DF" w:rsidRPr="006C4E1F" w:rsidRDefault="008A53DF" w:rsidP="008A53DF">
      <w:pPr>
        <w:ind w:left="709" w:hanging="425"/>
        <w:jc w:val="both"/>
        <w:rPr>
          <w:rFonts w:ascii="Times New Roman" w:hAnsi="Times New Roman"/>
          <w:lang w:val="de-DE"/>
        </w:rPr>
      </w:pPr>
      <w:r w:rsidRPr="006C4E1F">
        <w:rPr>
          <w:rFonts w:ascii="Times New Roman" w:hAnsi="Times New Roman"/>
          <w:lang w:val="de-DE"/>
        </w:rPr>
        <w:tab/>
      </w:r>
      <w:r w:rsidRPr="006C4E1F">
        <w:rPr>
          <w:rFonts w:ascii="Times New Roman" w:hAnsi="Times New Roman"/>
          <w:lang w:val="de-DE"/>
        </w:rPr>
        <w:tab/>
      </w:r>
      <w:r w:rsidRPr="006C4E1F">
        <w:rPr>
          <w:rFonts w:ascii="Times New Roman" w:hAnsi="Times New Roman"/>
          <w:lang w:val="de-DE"/>
        </w:rPr>
        <w:tab/>
        <w:t xml:space="preserve">P(2) </w:t>
      </w:r>
      <w:r w:rsidRPr="006C4E1F">
        <w:rPr>
          <w:rFonts w:ascii="Times New Roman" w:hAnsi="Times New Roman"/>
          <w:lang w:val="de-DE"/>
        </w:rPr>
        <w:tab/>
        <w:t>X(2)</w:t>
      </w:r>
      <w:r w:rsidRPr="006C4E1F">
        <w:rPr>
          <w:rFonts w:ascii="Times New Roman" w:hAnsi="Times New Roman"/>
          <w:lang w:val="de-DE"/>
        </w:rPr>
        <w:tab/>
        <w:t>ERR(2)</w:t>
      </w:r>
    </w:p>
    <w:p w:rsidR="008A53DF" w:rsidRDefault="008A53DF" w:rsidP="008A53DF">
      <w:pPr>
        <w:ind w:left="709" w:hanging="425"/>
        <w:jc w:val="both"/>
        <w:rPr>
          <w:rFonts w:ascii="Times New Roman" w:hAnsi="Times New Roman"/>
        </w:rPr>
      </w:pPr>
      <w:r w:rsidRPr="006C4E1F">
        <w:rPr>
          <w:rFonts w:ascii="Times New Roman" w:hAnsi="Times New Roman"/>
          <w:lang w:val="de-DE"/>
        </w:rPr>
        <w:tab/>
        <w:t xml:space="preserve">            </w:t>
      </w:r>
      <w:r>
        <w:rPr>
          <w:rFonts w:ascii="Times New Roman" w:hAnsi="Times New Roman"/>
        </w:rPr>
        <w: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w:t>
      </w:r>
      <w:r w:rsidRPr="000A0248">
        <w:rPr>
          <w:rFonts w:ascii="Times New Roman" w:hAnsi="Times New Roman"/>
          <w:color w:val="000000"/>
        </w:rPr>
        <w:lastRenderedPageBreak/>
        <w:t>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w:t>
      </w:r>
      <w:r w:rsidRPr="000A0248">
        <w:rPr>
          <w:rFonts w:ascii="Times New Roman" w:hAnsi="Times New Roman"/>
          <w:color w:val="000000"/>
        </w:rPr>
        <w:lastRenderedPageBreak/>
        <w:t>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lastRenderedPageBreak/>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proofErr w:type="gramStart"/>
      <w:r w:rsidRPr="002D729A">
        <w:rPr>
          <w:rFonts w:ascii="Times New Roman" w:hAnsi="Times New Roman"/>
          <w:lang w:val="fr-CA"/>
        </w:rPr>
        <w:t>)</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2D729A" w:rsidRDefault="009D62BA" w:rsidP="009D62BA">
      <w:pPr>
        <w:pStyle w:val="ListParagraph"/>
        <w:ind w:left="709" w:hanging="425"/>
        <w:jc w:val="both"/>
        <w:rPr>
          <w:rFonts w:ascii="Times New Roman" w:hAnsi="Times New Roman"/>
        </w:rPr>
      </w:pPr>
      <w:r>
        <w:rPr>
          <w:rFonts w:ascii="Times New Roman" w:hAnsi="Times New Roman"/>
        </w:rPr>
        <w:t>26</w:t>
      </w:r>
      <w:r>
        <w:rPr>
          <w:rFonts w:ascii="Times New Roman" w:hAnsi="Times New Roman"/>
        </w:rPr>
        <w:tab/>
      </w:r>
      <w:r w:rsidRPr="001F6229">
        <w:rPr>
          <w:rFonts w:ascii="Times New Roman" w:hAnsi="Times New Roman"/>
        </w:rPr>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 this gradient region</w:t>
      </w:r>
      <w:r>
        <w:rPr>
          <w:rFonts w:ascii="Times New Roman" w:hAnsi="Times New Roman"/>
        </w:rPr>
        <w:t xml:space="preserve"> and zero below</w:t>
      </w:r>
      <w:r w:rsidRPr="001F6229">
        <w:rPr>
          <w:rFonts w:ascii="Times New Roman" w:hAnsi="Times New Roman"/>
        </w:rPr>
        <w:t xml:space="preserve"> (i.e. p&lt;p1 v=v1 and p&gt;p2 v=</w:t>
      </w:r>
      <w:r>
        <w:rPr>
          <w:rFonts w:ascii="Times New Roman" w:hAnsi="Times New Roman"/>
        </w:rPr>
        <w:t>0</w:t>
      </w:r>
      <w:r w:rsidRPr="001F6229">
        <w:rPr>
          <w:rFonts w:ascii="Times New Roman" w:hAnsi="Times New Roman"/>
        </w:rPr>
        <w:t>.)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F64A74">
        <w:rPr>
          <w:rFonts w:ascii="Times New Roman" w:hAnsi="Times New Roman"/>
        </w:rPr>
        <w:t xml:space="preserve"> Same input for</w:t>
      </w:r>
      <w:bookmarkStart w:id="6" w:name="_GoBack"/>
      <w:bookmarkEnd w:id="6"/>
      <w:r w:rsidR="00F64A74">
        <w:rPr>
          <w:rFonts w:ascii="Times New Roman" w:hAnsi="Times New Roman"/>
        </w:rPr>
        <w:t>mat as 23.</w:t>
      </w:r>
    </w:p>
    <w:p w:rsidR="009D62BA" w:rsidRPr="001F6229" w:rsidRDefault="009D62BA" w:rsidP="003844E0">
      <w:pPr>
        <w:pStyle w:val="ListParagraph"/>
        <w:ind w:left="709"/>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 xml:space="preserv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proofErr w:type="gramStart"/>
      <w:r w:rsidRPr="0079735E">
        <w:rPr>
          <w:rFonts w:ascii="Times New Roman" w:hAnsi="Times New Roman"/>
          <w:i/>
        </w:rPr>
        <w:t>.</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6C4E1F" w:rsidRDefault="008A53DF" w:rsidP="008A53DF">
      <w:pPr>
        <w:rPr>
          <w:rFonts w:ascii="Times New Roman" w:hAnsi="Times New Roman"/>
          <w:lang w:val="fr-CA"/>
        </w:rPr>
      </w:pPr>
      <w:r w:rsidRPr="006C4E1F">
        <w:rPr>
          <w:rFonts w:ascii="Times New Roman" w:hAnsi="Times New Roman"/>
          <w:lang w:val="fr-CA"/>
        </w:rPr>
        <w:t>VCONV(1,1), Y(1,1), ERR(1,1)</w:t>
      </w:r>
    </w:p>
    <w:p w:rsidR="008A53DF" w:rsidRPr="006C4E1F" w:rsidRDefault="008A53DF" w:rsidP="008A53DF">
      <w:pPr>
        <w:rPr>
          <w:rFonts w:ascii="Times New Roman" w:hAnsi="Times New Roman"/>
          <w:lang w:val="fr-CA"/>
        </w:rPr>
      </w:pPr>
      <w:r w:rsidRPr="006C4E1F">
        <w:rPr>
          <w:rFonts w:ascii="Times New Roman" w:hAnsi="Times New Roman"/>
          <w:lang w:val="fr-CA"/>
        </w:rPr>
        <w:t>VCONV(1,2),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6C4E1F" w:rsidRDefault="008A53DF" w:rsidP="008A53DF">
      <w:pPr>
        <w:rPr>
          <w:rFonts w:ascii="Times New Roman" w:hAnsi="Times New Roman"/>
          <w:lang w:val="fr-CA"/>
        </w:rPr>
      </w:pPr>
      <w:r w:rsidRPr="006C4E1F">
        <w:rPr>
          <w:rFonts w:ascii="Times New Roman" w:hAnsi="Times New Roman"/>
          <w:lang w:val="fr-CA"/>
        </w:rPr>
        <w:t>VCONV(2,1), Y(2,1), ERR(2,1)</w:t>
      </w:r>
    </w:p>
    <w:p w:rsidR="008A53DF" w:rsidRPr="006C4E1F" w:rsidRDefault="008A53DF" w:rsidP="008A53DF">
      <w:pPr>
        <w:rPr>
          <w:rFonts w:ascii="Times New Roman" w:hAnsi="Times New Roman"/>
          <w:lang w:val="fr-CA"/>
        </w:rPr>
      </w:pPr>
      <w:r w:rsidRPr="006C4E1F">
        <w:rPr>
          <w:rFonts w:ascii="Times New Roman" w:hAnsi="Times New Roman"/>
          <w:lang w:val="fr-CA"/>
        </w:rPr>
        <w:t>VCONV(2,2),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lastRenderedPageBreak/>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972CEA" w:rsidP="008A53DF">
      <w:pPr>
        <w:jc w:val="both"/>
        <w:rPr>
          <w:rFonts w:ascii="Times New Roman" w:hAnsi="Times New Roman"/>
        </w:rPr>
      </w:pPr>
      <w:r w:rsidRPr="00972CEA">
        <w:rPr>
          <w:rFonts w:ascii="Times New Roman" w:hAnsi="Times New Roman"/>
          <w:noProof/>
          <w:lang w:val="en-US"/>
        </w:rPr>
      </w:r>
      <w:r w:rsidRPr="00972CEA">
        <w:rPr>
          <w:rFonts w:ascii="Times New Roman" w:hAnsi="Times New Roman"/>
          <w:noProof/>
          <w:lang w:val="en-US"/>
        </w:rPr>
        <w:pict>
          <v:group id="Group 3" o:spid="_x0000_s1026" style="width:369.9pt;height:221.9pt;mso-position-horizontal-relative:char;mso-position-vertical-relative:line" coordorigin="2526,5356" coordsize="7200,4320">
            <o:lock v:ext="edit" aspectratio="t"/>
            <v:rect id="AutoShape 2" o:spid="_x0000_s1027" style="position:absolute;left:2526;top:5356;width:7200;height: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6C4E1F" w:rsidRPr="000544E9" w:rsidRDefault="006C4E1F">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169c28,141,52,111,90,94,133,75,186,75,225,49,252,31,280,6,315,4v60,-4,120,,180,e" filled="f">
              <v:path arrowok="t" o:connecttype="custom" o:connectlocs="0,141;75,78;188,41;263,3;413,3" o:connectangles="0,0,0,0,0"/>
            </v:shape>
            <v:shape id="Text Box 16" o:spid="_x0000_s1038" type="#_x0000_t202" style="position:absolute;left:5002;top:6694;width:1200;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6C4E1F" w:rsidRPr="000544E9" w:rsidRDefault="006C4E1F">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24c198,33,303,,450,84v56,32,75,81,120,120c597,228,660,264,660,264v33,49,30,27,30,60e" filled="f">
              <v:path arrowok="t" o:connecttype="custom" o:connectlocs="0,20;375,70;475,170;550,220;575,270" o:connectangles="0,0,0,0,0"/>
            </v:shape>
            <v:shape id="Text Box 18" o:spid="_x0000_s1040" type="#_x0000_t202" style="position:absolute;left:5926;top:6644;width:1113;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6C4E1F" w:rsidRPr="000544E9" w:rsidRDefault="006C4E1F">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6C4E1F" w:rsidRPr="006B4AB9" w:rsidRDefault="006C4E1F">
                    <w:pPr>
                      <w:rPr>
                        <w:i/>
                        <w:sz w:val="18"/>
                        <w:szCs w:val="18"/>
                      </w:rPr>
                    </w:pPr>
                    <w:r w:rsidRPr="006B4AB9">
                      <w:rPr>
                        <w:i/>
                        <w:sz w:val="18"/>
                        <w:szCs w:val="18"/>
                      </w:rPr>
                      <w:t>x</w:t>
                    </w:r>
                  </w:p>
                </w:txbxContent>
              </v:textbox>
            </v:shape>
            <v:shape id="Text Box 20" o:spid="_x0000_s1042" type="#_x0000_t202" style="position:absolute;left:7902;top:6807;width:825;height:3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6C4E1F" w:rsidRPr="006B4AB9" w:rsidRDefault="006C4E1F">
                    <w:pPr>
                      <w:rPr>
                        <w:i/>
                        <w:sz w:val="18"/>
                        <w:szCs w:val="18"/>
                      </w:rPr>
                    </w:pPr>
                    <w:r w:rsidRPr="006B4AB9">
                      <w:rPr>
                        <w:i/>
                        <w:sz w:val="18"/>
                        <w:szCs w:val="18"/>
                      </w:rPr>
                      <w:t>y</w:t>
                    </w:r>
                  </w:p>
                </w:txbxContent>
              </v:textbox>
            </v:shape>
            <v:shape id="Text Box 21" o:spid="_x0000_s1043" type="#_x0000_t202" style="position:absolute;left:5889;top:6044;width:888;height:4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6C4E1F" w:rsidRPr="006B4AB9" w:rsidRDefault="006C4E1F">
                    <w:pPr>
                      <w:rPr>
                        <w:i/>
                        <w:sz w:val="18"/>
                        <w:szCs w:val="18"/>
                      </w:rPr>
                    </w:pPr>
                    <w:r w:rsidRPr="006B4AB9">
                      <w:rPr>
                        <w:i/>
                        <w:sz w:val="18"/>
                        <w:szCs w:val="18"/>
                      </w:rPr>
                      <w:t>z</w:t>
                    </w:r>
                  </w:p>
                </w:txbxContent>
              </v:textbox>
            </v:shape>
            <v:shape id="Arc 44" o:spid="_x0000_s1044" style="position:absolute;left:6426;top:7968;width:150;height:238;flip:y;visibility:visible"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1nfc11929,,21600,9670,21600,21600v,4594,-1465,9068,-4182,12773em,-1nsc11929,,21600,9670,21600,21600v,4594,-1465,9068,-4182,12773l,21600,,-1xe" filled="f">
              <v:stroke joinstyle="round"/>
              <v:formulas/>
              <v:path arrowok="t" o:extrusionok="f" o:connecttype="custom" o:connectlocs="0,0;121,238;0,150" o:connectangles="0,0,0"/>
            </v:shape>
            <w10:wrap type="none"/>
            <w10:anchorlock/>
          </v:group>
        </w:pict>
      </w:r>
    </w:p>
    <w:p w:rsidR="008A53DF" w:rsidRDefault="008A53DF" w:rsidP="008A53DF">
      <w:pPr>
        <w:jc w:val="center"/>
        <w:rPr>
          <w:rFonts w:ascii="Copperplate Gothic Light" w:hAnsi="Copperplate Gothic Light"/>
        </w:rPr>
      </w:pPr>
      <w:r>
        <w:rPr>
          <w:rFonts w:ascii="Times New Roman" w:hAnsi="Times New Roman"/>
        </w:rPr>
        <w:lastRenderedPageBreak/>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t>
      </w:r>
      <w:proofErr w:type="spellStart"/>
      <w:r>
        <w:rPr>
          <w:rFonts w:ascii="Times New Roman" w:hAnsi="Times New Roman"/>
        </w:rPr>
        <w:t>wavenumber</w:t>
      </w:r>
      <w:proofErr w:type="spellEnd"/>
      <w:r>
        <w:rPr>
          <w:rFonts w:ascii="Times New Roman" w:hAnsi="Times New Roman"/>
        </w:rPr>
        <w:t xml:space="preserve">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w:t>
      </w:r>
      <w:r>
        <w:rPr>
          <w:rFonts w:ascii="Times New Roman" w:hAnsi="Times New Roman"/>
        </w:rPr>
        <w:lastRenderedPageBreak/>
        <w:t>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lastRenderedPageBreak/>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lastRenderedPageBreak/>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lastRenderedPageBreak/>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t>
      </w:r>
      <w:proofErr w:type="spellStart"/>
      <w:r>
        <w:rPr>
          <w:rFonts w:ascii="Times New Roman" w:hAnsi="Times New Roman"/>
        </w:rPr>
        <w:t>wavenumber</w:t>
      </w:r>
      <w:proofErr w:type="spellEnd"/>
      <w:r>
        <w:rPr>
          <w:rFonts w:ascii="Times New Roman" w:hAnsi="Times New Roman"/>
        </w:rPr>
        <w:t>,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972CEA" w:rsidRPr="00972CEA">
        <w:rPr>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25pt"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972CEA" w:rsidRPr="00972CEA">
        <w:rPr>
          <w:position w:val="-18"/>
        </w:rPr>
        <w:pict>
          <v:shape id="_x0000_i1027" type="#_x0000_t75" style="width:4in;height:26.25pt"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972CEA" w:rsidRPr="00972CEA">
        <w:rPr>
          <w:rFonts w:ascii="Times New Roman" w:hAnsi="Times New Roman"/>
          <w:position w:val="-12"/>
        </w:rPr>
        <w:pict>
          <v:shape id="_x0000_i1028" type="#_x0000_t75" style="width:12.75pt;height:20.25pt">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972CEA" w:rsidRPr="00972CEA">
        <w:rPr>
          <w:rFonts w:ascii="Times New Roman" w:hAnsi="Times New Roman"/>
          <w:position w:val="-16"/>
        </w:rPr>
        <w:pict>
          <v:shape id="_x0000_i1029" type="#_x0000_t75" style="width:99.75pt;height:23.25pt">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972CEA" w:rsidP="008A53DF">
      <w:pPr>
        <w:jc w:val="center"/>
      </w:pPr>
      <w:r w:rsidRPr="00972CEA">
        <w:rPr>
          <w:position w:val="-16"/>
        </w:rPr>
        <w:pict>
          <v:shape id="_x0000_i1030" type="#_x0000_t75" style="width:242.25pt;height:23.25pt"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972CEA" w:rsidP="008A53DF">
      <w:pPr>
        <w:jc w:val="center"/>
      </w:pPr>
      <w:r w:rsidRPr="00972CEA">
        <w:rPr>
          <w:position w:val="-16"/>
        </w:rPr>
        <w:pict>
          <v:shape id="_x0000_i1031" type="#_x0000_t75" style="width:195.75pt;height:23.25pt"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972CEA" w:rsidRPr="00972CEA">
        <w:rPr>
          <w:position w:val="-12"/>
        </w:rPr>
        <w:pict>
          <v:shape id="_x0000_i1032" type="#_x0000_t75" style="width:44.25pt;height:18pt"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972CEA" w:rsidRPr="00972CEA">
        <w:rPr>
          <w:position w:val="-12"/>
        </w:rPr>
        <w:pict>
          <v:shape id="_x0000_i1033" type="#_x0000_t75" style="width:44.25pt;height:18pt"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972CEA" w:rsidRPr="00972CEA">
        <w:rPr>
          <w:position w:val="-16"/>
        </w:rPr>
        <w:pict>
          <v:shape id="_x0000_i1034" type="#_x0000_t75" style="width:282pt;height:23.25pt"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972CEA" w:rsidRPr="00972CEA">
        <w:rPr>
          <w:position w:val="-14"/>
        </w:rPr>
        <w:pict>
          <v:shape id="_x0000_i1035" type="#_x0000_t75" style="width:186.75pt;height:20.25pt" fillcolor="window">
            <v:imagedata r:id="rId22" o:title=""/>
          </v:shape>
        </w:pict>
      </w:r>
      <w:r w:rsidRPr="009B20E0">
        <w:tab/>
      </w:r>
      <w:r>
        <w:t>(8.4)</w:t>
      </w:r>
    </w:p>
    <w:p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972CEA" w:rsidRPr="00972CEA">
        <w:rPr>
          <w:position w:val="-12"/>
        </w:rPr>
        <w:pict>
          <v:shape id="_x0000_i1036" type="#_x0000_t75" style="width:30pt;height:18pt"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972CEA" w:rsidRPr="00972CEA">
        <w:rPr>
          <w:position w:val="-16"/>
        </w:rPr>
        <w:pict>
          <v:shape id="_x0000_i1037" type="#_x0000_t75" style="width:138.75pt;height:23.25pt"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lastRenderedPageBreak/>
        <w:tab/>
      </w:r>
      <w:r w:rsidR="00972CEA" w:rsidRPr="00972CEA">
        <w:rPr>
          <w:position w:val="-16"/>
        </w:rPr>
        <w:pict>
          <v:shape id="_x0000_i1038" type="#_x0000_t75" style="width:149.25pt;height:23.25pt"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972CEA" w:rsidRPr="00972CEA">
        <w:rPr>
          <w:position w:val="-12"/>
        </w:rPr>
        <w:pict>
          <v:shape id="_x0000_i1039" type="#_x0000_t75" style="width:18pt;height:18pt"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w:t>
      </w:r>
      <w:proofErr w:type="gramStart"/>
      <w:r>
        <w:t>matrix (and the averaging kernel matrix) 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runname.prf or aerosol.prf then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proofErr w:type="gramStart"/>
      <w:r>
        <w:rPr>
          <w:rFonts w:ascii="Times New Roman" w:hAnsi="Times New Roman"/>
          <w:color w:val="000000"/>
          <w:szCs w:val="24"/>
          <w:lang w:val="en-US"/>
        </w:rPr>
        <w:t>,</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t>
      </w:r>
      <w:proofErr w:type="spellStart"/>
      <w:r>
        <w:rPr>
          <w:rFonts w:ascii="Times New Roman" w:hAnsi="Times New Roman"/>
          <w:szCs w:val="24"/>
        </w:rPr>
        <w:t>wavenumber</w:t>
      </w:r>
      <w:proofErr w:type="spellEnd"/>
      <w:r>
        <w:rPr>
          <w:rFonts w:ascii="Times New Roman" w:hAnsi="Times New Roman"/>
          <w:szCs w:val="24"/>
        </w:rPr>
        <w:t xml:space="preserve">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DE4CC6">
      <w:headerReference w:type="default" r:id="rId27"/>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412" w:rsidRDefault="00B66412">
      <w:r>
        <w:separator/>
      </w:r>
    </w:p>
  </w:endnote>
  <w:endnote w:type="continuationSeparator" w:id="0">
    <w:p w:rsidR="00B66412" w:rsidRDefault="00B66412">
      <w:r>
        <w:continuationSeparator/>
      </w:r>
    </w:p>
  </w:endnote>
  <w:endnote w:type="continuationNotice" w:id="1">
    <w:p w:rsidR="00B66412" w:rsidRDefault="00B6641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badi MT Condensed Light">
    <w:altName w:val="MV Boli"/>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F" w:rsidRDefault="006C4E1F">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412" w:rsidRDefault="00B66412">
      <w:r>
        <w:separator/>
      </w:r>
    </w:p>
  </w:footnote>
  <w:footnote w:type="continuationSeparator" w:id="0">
    <w:p w:rsidR="00B66412" w:rsidRDefault="00B66412">
      <w:r>
        <w:continuationSeparator/>
      </w:r>
    </w:p>
  </w:footnote>
  <w:footnote w:type="continuationNotice" w:id="1">
    <w:p w:rsidR="00B66412" w:rsidRDefault="00B664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F" w:rsidRDefault="006C4E1F">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6C4E1F" w:rsidRDefault="006C4E1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F" w:rsidRDefault="006C4E1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6C4E1F" w:rsidRDefault="006C4E1F">
    <w:pPr>
      <w:pStyle w:val="Header"/>
      <w:widowControl w:val="0"/>
      <w:ind w:right="360"/>
    </w:pPr>
    <w:r>
      <w:rPr>
        <w:rFonts w:ascii="Times New Roman" w:hAnsi="Times New Roman"/>
      </w:rPr>
      <w:t>Nemesis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F" w:rsidRDefault="006C4E1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7A3FC2">
      <w:rPr>
        <w:rStyle w:val="PageNumber"/>
        <w:rFonts w:ascii="Times New Roman" w:hAnsi="Times New Roman"/>
        <w:noProof/>
      </w:rPr>
      <w:t>35</w:t>
    </w:r>
    <w:r w:rsidRPr="00AB6BC8">
      <w:rPr>
        <w:rStyle w:val="PageNumber"/>
        <w:rFonts w:ascii="Times New Roman" w:hAnsi="Times New Roman"/>
      </w:rPr>
      <w:fldChar w:fldCharType="end"/>
    </w:r>
  </w:p>
  <w:p w:rsidR="006C4E1F" w:rsidRDefault="006C4E1F">
    <w:pPr>
      <w:pStyle w:val="Header"/>
      <w:widowControl w:val="0"/>
      <w:pBdr>
        <w:bottom w:val="single" w:sz="6" w:space="0" w:color="auto"/>
      </w:pBdr>
    </w:pPr>
    <w:r>
      <w:rPr>
        <w:rFonts w:ascii="Times New Roman" w:hAnsi="Times New Roman"/>
      </w:rPr>
      <w:t>Nemesis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 w:id="1"/>
  </w:footnotePr>
  <w:endnotePr>
    <w:endnote w:id="-1"/>
    <w:endnote w:id="0"/>
    <w:endnote w:id="1"/>
  </w:endnotePr>
  <w:compat/>
  <w:rsids>
    <w:rsidRoot w:val="003F0BE3"/>
    <w:rsid w:val="00012473"/>
    <w:rsid w:val="00016E76"/>
    <w:rsid w:val="00026DB4"/>
    <w:rsid w:val="000507B4"/>
    <w:rsid w:val="000544E9"/>
    <w:rsid w:val="000601FE"/>
    <w:rsid w:val="0006449B"/>
    <w:rsid w:val="000737F8"/>
    <w:rsid w:val="0007587E"/>
    <w:rsid w:val="000842EA"/>
    <w:rsid w:val="001069DE"/>
    <w:rsid w:val="0011333C"/>
    <w:rsid w:val="00127052"/>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844E0"/>
    <w:rsid w:val="003868AB"/>
    <w:rsid w:val="003A1BC3"/>
    <w:rsid w:val="003B72A4"/>
    <w:rsid w:val="003F0BE3"/>
    <w:rsid w:val="00415A94"/>
    <w:rsid w:val="00431217"/>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C1E74"/>
    <w:rsid w:val="005D762F"/>
    <w:rsid w:val="005F148B"/>
    <w:rsid w:val="00641D74"/>
    <w:rsid w:val="006516A2"/>
    <w:rsid w:val="00656587"/>
    <w:rsid w:val="00670C49"/>
    <w:rsid w:val="00677C41"/>
    <w:rsid w:val="006A3303"/>
    <w:rsid w:val="006C4E1F"/>
    <w:rsid w:val="006E6501"/>
    <w:rsid w:val="006F0E94"/>
    <w:rsid w:val="00706E2D"/>
    <w:rsid w:val="00735FF2"/>
    <w:rsid w:val="007444FF"/>
    <w:rsid w:val="00750771"/>
    <w:rsid w:val="00797043"/>
    <w:rsid w:val="0079735E"/>
    <w:rsid w:val="007A3FC2"/>
    <w:rsid w:val="007C3D14"/>
    <w:rsid w:val="007C69A9"/>
    <w:rsid w:val="0085226C"/>
    <w:rsid w:val="00854F40"/>
    <w:rsid w:val="00860E4C"/>
    <w:rsid w:val="0088284D"/>
    <w:rsid w:val="00882CB0"/>
    <w:rsid w:val="008A53DF"/>
    <w:rsid w:val="008A7401"/>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F21E5"/>
    <w:rsid w:val="00AF314B"/>
    <w:rsid w:val="00AF43B9"/>
    <w:rsid w:val="00AF5631"/>
    <w:rsid w:val="00B4295E"/>
    <w:rsid w:val="00B5189B"/>
    <w:rsid w:val="00B61AC9"/>
    <w:rsid w:val="00B64FEB"/>
    <w:rsid w:val="00B66412"/>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r="http://schemas.openxmlformats.org/officeDocument/2006/relationships" xmlns:w="http://schemas.openxmlformats.org/wordprocessingml/2006/main">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7287E-8ADF-436F-8960-5B2E051DB66F}">
  <ds:schemaRefs>
    <ds:schemaRef ds:uri="http://schemas.openxmlformats.org/officeDocument/2006/bibliography"/>
  </ds:schemaRefs>
</ds:datastoreItem>
</file>

<file path=customXml/itemProps2.xml><?xml version="1.0" encoding="utf-8"?>
<ds:datastoreItem xmlns:ds="http://schemas.openxmlformats.org/officeDocument/2006/customXml" ds:itemID="{4FDC4783-5D92-43EA-9ABE-734A1A4DC30E}">
  <ds:schemaRefs>
    <ds:schemaRef ds:uri="http://schemas.openxmlformats.org/officeDocument/2006/bibliography"/>
  </ds:schemaRefs>
</ds:datastoreItem>
</file>

<file path=customXml/itemProps3.xml><?xml version="1.0" encoding="utf-8"?>
<ds:datastoreItem xmlns:ds="http://schemas.openxmlformats.org/officeDocument/2006/customXml" ds:itemID="{00659AC1-9417-4C23-AD6F-52C01C77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39</Pages>
  <Words>13245</Words>
  <Characters>75497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88565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Ashwin</cp:lastModifiedBy>
  <cp:revision>5</cp:revision>
  <cp:lastPrinted>2017-07-21T12:56:00Z</cp:lastPrinted>
  <dcterms:created xsi:type="dcterms:W3CDTF">2017-09-04T16:18:00Z</dcterms:created>
  <dcterms:modified xsi:type="dcterms:W3CDTF">2017-10-12T10:14:00Z</dcterms:modified>
</cp:coreProperties>
</file>