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80FE" w14:textId="5D15135C" w:rsidR="001E1385" w:rsidRDefault="0070317C" w:rsidP="0070317C">
      <w:pPr>
        <w:pStyle w:val="ListParagraph"/>
        <w:numPr>
          <w:ilvl w:val="0"/>
          <w:numId w:val="1"/>
        </w:numPr>
      </w:pPr>
      <w:r>
        <w:t>LETTER 1</w:t>
      </w:r>
    </w:p>
    <w:p w14:paraId="3A243707" w14:textId="6F799CD2" w:rsidR="0070317C" w:rsidRDefault="0070317C" w:rsidP="0070317C">
      <w:pPr>
        <w:pStyle w:val="ListParagraph"/>
        <w:numPr>
          <w:ilvl w:val="1"/>
          <w:numId w:val="1"/>
        </w:numPr>
      </w:pPr>
      <w:r>
        <w:t>Double counting of income</w:t>
      </w:r>
    </w:p>
    <w:p w14:paraId="47993DB1" w14:textId="39E63395" w:rsidR="0070317C" w:rsidRDefault="0070317C" w:rsidP="0070317C">
      <w:pPr>
        <w:pStyle w:val="ListParagraph"/>
        <w:numPr>
          <w:ilvl w:val="1"/>
          <w:numId w:val="1"/>
        </w:numPr>
      </w:pPr>
      <w:r>
        <w:t>Haig-</w:t>
      </w:r>
      <w:proofErr w:type="gramStart"/>
      <w:r>
        <w:t>Simons</w:t>
      </w:r>
      <w:proofErr w:type="gramEnd"/>
      <w:r>
        <w:t xml:space="preserve"> income means removing taxes &amp; adding transfers</w:t>
      </w:r>
    </w:p>
    <w:p w14:paraId="269675B8" w14:textId="6D57B690" w:rsidR="0062739C" w:rsidRDefault="0079243A" w:rsidP="0062739C">
      <w:pPr>
        <w:pStyle w:val="ListParagraph"/>
        <w:numPr>
          <w:ilvl w:val="2"/>
          <w:numId w:val="1"/>
        </w:numPr>
      </w:pPr>
      <w:r>
        <w:t xml:space="preserve">Traditional </w:t>
      </w:r>
      <w:r w:rsidR="00435203">
        <w:t xml:space="preserve">Haig-Simons is a </w:t>
      </w:r>
      <w:r w:rsidR="00435203">
        <w:rPr>
          <w:i/>
          <w:iCs/>
        </w:rPr>
        <w:t>pre-tax rate</w:t>
      </w:r>
      <w:r>
        <w:rPr>
          <w:i/>
          <w:iCs/>
        </w:rPr>
        <w:t xml:space="preserve">. </w:t>
      </w:r>
      <w:r>
        <w:t xml:space="preserve">It is traditionally described as “consumption plus change in net worth”, but that isn’t correct --- it should also add back taxes. It is an ability to pay measure. And it also includes transfers. </w:t>
      </w:r>
    </w:p>
    <w:p w14:paraId="66A2F20B" w14:textId="4D6C3BD9" w:rsidR="0079243A" w:rsidRDefault="0079243A" w:rsidP="0062739C">
      <w:pPr>
        <w:pStyle w:val="ListParagraph"/>
        <w:numPr>
          <w:ilvl w:val="2"/>
          <w:numId w:val="1"/>
        </w:numPr>
      </w:pPr>
      <w:r>
        <w:t xml:space="preserve">What I should do --- rename my income source to be “comprehensive income.” This is a pre-tax comprehensive income --- </w:t>
      </w:r>
    </w:p>
    <w:p w14:paraId="7C68D4C4" w14:textId="668C58DE" w:rsidR="0079243A" w:rsidRDefault="0079243A" w:rsidP="0062739C">
      <w:pPr>
        <w:pStyle w:val="ListParagraph"/>
        <w:numPr>
          <w:ilvl w:val="2"/>
          <w:numId w:val="1"/>
        </w:numPr>
      </w:pPr>
      <w:r>
        <w:t>For Haig-</w:t>
      </w:r>
      <w:proofErr w:type="gramStart"/>
      <w:r>
        <w:t>Simons  ---</w:t>
      </w:r>
      <w:proofErr w:type="gramEnd"/>
      <w:r>
        <w:t xml:space="preserve"> ability to pay --- which adds back transfers </w:t>
      </w:r>
    </w:p>
    <w:p w14:paraId="78C979ED" w14:textId="5CB92421" w:rsidR="00437B0D" w:rsidRDefault="00437B0D" w:rsidP="0062739C">
      <w:pPr>
        <w:pStyle w:val="ListParagraph"/>
        <w:numPr>
          <w:ilvl w:val="2"/>
          <w:numId w:val="1"/>
        </w:numPr>
      </w:pPr>
      <w:r>
        <w:t xml:space="preserve">And then a post-tax income. </w:t>
      </w:r>
    </w:p>
    <w:p w14:paraId="30E58EB8" w14:textId="260415D9" w:rsidR="00F33773" w:rsidRDefault="00F33773" w:rsidP="0062739C">
      <w:pPr>
        <w:pStyle w:val="ListParagraph"/>
        <w:numPr>
          <w:ilvl w:val="2"/>
          <w:numId w:val="1"/>
        </w:numPr>
      </w:pPr>
      <w:r>
        <w:t xml:space="preserve">Larrimore is wrong in saying that Haig-Simons income is pre-tax </w:t>
      </w:r>
    </w:p>
    <w:p w14:paraId="261ABF1F" w14:textId="1960805F" w:rsidR="0070317C" w:rsidRDefault="00E92616" w:rsidP="0070317C">
      <w:pPr>
        <w:pStyle w:val="ListParagraph"/>
        <w:numPr>
          <w:ilvl w:val="1"/>
          <w:numId w:val="1"/>
        </w:numPr>
      </w:pPr>
      <w:r>
        <w:t>Issues with baseline PSZ estimates</w:t>
      </w:r>
    </w:p>
    <w:p w14:paraId="218B8E20" w14:textId="109D0D87" w:rsidR="00E92616" w:rsidRDefault="00E92616" w:rsidP="0070317C">
      <w:pPr>
        <w:pStyle w:val="ListParagraph"/>
        <w:numPr>
          <w:ilvl w:val="1"/>
          <w:numId w:val="1"/>
        </w:numPr>
      </w:pPr>
      <w:r>
        <w:t>Effective tax rate</w:t>
      </w:r>
    </w:p>
    <w:p w14:paraId="098FF3C9" w14:textId="0D17B1CF" w:rsidR="00E92616" w:rsidRDefault="00E92616" w:rsidP="00E92616">
      <w:pPr>
        <w:pStyle w:val="ListParagraph"/>
        <w:numPr>
          <w:ilvl w:val="2"/>
          <w:numId w:val="1"/>
        </w:numPr>
      </w:pPr>
      <w:r>
        <w:t>Include transfers in the income denominator, and deduct refundable tax credits in the numerator</w:t>
      </w:r>
    </w:p>
    <w:p w14:paraId="4E966D60" w14:textId="1300C721" w:rsidR="00E92616" w:rsidRDefault="00E92616" w:rsidP="00E92616">
      <w:pPr>
        <w:pStyle w:val="ListParagraph"/>
        <w:numPr>
          <w:ilvl w:val="1"/>
          <w:numId w:val="1"/>
        </w:numPr>
      </w:pPr>
      <w:r>
        <w:t xml:space="preserve">Fixed income assets and removing inflation. </w:t>
      </w:r>
    </w:p>
    <w:p w14:paraId="058462CE" w14:textId="251CA6A9" w:rsidR="00E92616" w:rsidRDefault="00E92616" w:rsidP="00E92616">
      <w:pPr>
        <w:pStyle w:val="ListParagraph"/>
        <w:numPr>
          <w:ilvl w:val="1"/>
          <w:numId w:val="1"/>
        </w:numPr>
      </w:pPr>
      <w:r>
        <w:t>Unclear contribution</w:t>
      </w:r>
    </w:p>
    <w:p w14:paraId="448F36E9" w14:textId="71E4D7FA" w:rsidR="00E92616" w:rsidRDefault="00E92616" w:rsidP="00E92616">
      <w:pPr>
        <w:pStyle w:val="ListParagraph"/>
        <w:numPr>
          <w:ilvl w:val="2"/>
          <w:numId w:val="1"/>
        </w:numPr>
      </w:pPr>
      <w:r>
        <w:t>Heterogeneous returns --- already done in SZZ</w:t>
      </w:r>
    </w:p>
    <w:p w14:paraId="3DE2D67D" w14:textId="71CA06E8" w:rsidR="00E92616" w:rsidRDefault="00E92616" w:rsidP="00E92616">
      <w:pPr>
        <w:pStyle w:val="ListParagraph"/>
        <w:numPr>
          <w:ilvl w:val="2"/>
          <w:numId w:val="1"/>
        </w:numPr>
      </w:pPr>
      <w:r>
        <w:t xml:space="preserve">How it improves in Larrimore? </w:t>
      </w:r>
    </w:p>
    <w:p w14:paraId="06909F69" w14:textId="21BF40B4" w:rsidR="00E92616" w:rsidRDefault="00E92616" w:rsidP="00E92616">
      <w:pPr>
        <w:pStyle w:val="ListParagraph"/>
        <w:numPr>
          <w:ilvl w:val="1"/>
          <w:numId w:val="1"/>
        </w:numPr>
      </w:pPr>
      <w:r>
        <w:t xml:space="preserve">Differences with Larrimore --- </w:t>
      </w:r>
      <w:r w:rsidR="00CD560F">
        <w:t xml:space="preserve">our spike is earlier (in 2003) </w:t>
      </w:r>
    </w:p>
    <w:p w14:paraId="4F579D80" w14:textId="2645126A" w:rsidR="00CD560F" w:rsidRDefault="00CD560F" w:rsidP="00CD560F">
      <w:pPr>
        <w:pStyle w:val="ListParagraph"/>
        <w:numPr>
          <w:ilvl w:val="0"/>
          <w:numId w:val="1"/>
        </w:numPr>
      </w:pPr>
      <w:r>
        <w:t>Letter 2</w:t>
      </w:r>
    </w:p>
    <w:p w14:paraId="2E8D91CF" w14:textId="1ABEB9AB" w:rsidR="00CD560F" w:rsidRDefault="00CD560F" w:rsidP="00CD560F">
      <w:pPr>
        <w:pStyle w:val="ListParagraph"/>
        <w:numPr>
          <w:ilvl w:val="1"/>
          <w:numId w:val="1"/>
        </w:numPr>
      </w:pPr>
      <w:r>
        <w:t xml:space="preserve">Conceptual framework – </w:t>
      </w:r>
      <w:proofErr w:type="spellStart"/>
      <w:r>
        <w:t>Mirless</w:t>
      </w:r>
      <w:proofErr w:type="spellEnd"/>
      <w:r>
        <w:t xml:space="preserve"> Review about taxation of normal vs excess returns. And how volatility is related to the ability to tax it.</w:t>
      </w:r>
    </w:p>
    <w:p w14:paraId="7F28F691" w14:textId="646D8F3B" w:rsidR="00CD560F" w:rsidRDefault="00CD560F" w:rsidP="00CD560F">
      <w:pPr>
        <w:pStyle w:val="ListParagraph"/>
        <w:numPr>
          <w:ilvl w:val="1"/>
          <w:numId w:val="1"/>
        </w:numPr>
      </w:pPr>
      <w:r>
        <w:t>Introduction --- hard going. Clearer structure, figure too much detail.</w:t>
      </w:r>
    </w:p>
    <w:p w14:paraId="193E32F0" w14:textId="5F07481A" w:rsidR="00CD560F" w:rsidRDefault="00CD560F" w:rsidP="00CD560F">
      <w:pPr>
        <w:pStyle w:val="ListParagraph"/>
        <w:numPr>
          <w:ilvl w:val="1"/>
          <w:numId w:val="1"/>
        </w:numPr>
      </w:pPr>
      <w:r>
        <w:t xml:space="preserve">Contribution --- what is the idea here? That capital gains are </w:t>
      </w:r>
      <w:proofErr w:type="gramStart"/>
      <w:r>
        <w:t>skewed?</w:t>
      </w:r>
      <w:proofErr w:type="gramEnd"/>
      <w:r>
        <w:t xml:space="preserve"> That income inequality is even </w:t>
      </w:r>
      <w:proofErr w:type="gramStart"/>
      <w:r>
        <w:t>higher?</w:t>
      </w:r>
      <w:proofErr w:type="gramEnd"/>
      <w:r>
        <w:t xml:space="preserve"> </w:t>
      </w:r>
    </w:p>
    <w:p w14:paraId="21EDC71D" w14:textId="75DB99C9" w:rsidR="00CD560F" w:rsidRDefault="00CD560F" w:rsidP="00CD560F">
      <w:pPr>
        <w:pStyle w:val="ListParagraph"/>
        <w:numPr>
          <w:ilvl w:val="1"/>
          <w:numId w:val="1"/>
        </w:numPr>
      </w:pPr>
      <w:r>
        <w:t xml:space="preserve">Owner occupied housing --- better describe non-itemizers </w:t>
      </w:r>
    </w:p>
    <w:p w14:paraId="2D8F24ED" w14:textId="3BF6B8E6" w:rsidR="00CD560F" w:rsidRDefault="00CD560F" w:rsidP="00CD560F">
      <w:pPr>
        <w:pStyle w:val="ListParagraph"/>
        <w:numPr>
          <w:ilvl w:val="1"/>
          <w:numId w:val="1"/>
        </w:numPr>
      </w:pPr>
      <w:r>
        <w:t>Business wealth --- compare with estimates in SZZ</w:t>
      </w:r>
    </w:p>
    <w:p w14:paraId="020F2E51" w14:textId="0F94F43D" w:rsidR="00CD560F" w:rsidRDefault="00CD560F" w:rsidP="00CD560F">
      <w:pPr>
        <w:pStyle w:val="ListParagraph"/>
        <w:numPr>
          <w:ilvl w:val="1"/>
          <w:numId w:val="1"/>
        </w:numPr>
      </w:pPr>
      <w:r>
        <w:t xml:space="preserve">Taxation --- what to make of these? Should we be taxing all unrealized gains? </w:t>
      </w:r>
      <w:proofErr w:type="spellStart"/>
      <w:r>
        <w:t>Behavioural</w:t>
      </w:r>
      <w:proofErr w:type="spellEnd"/>
      <w:r>
        <w:t xml:space="preserve"> responses would be huge. PF / </w:t>
      </w:r>
      <w:proofErr w:type="spellStart"/>
      <w:r>
        <w:t>optmal</w:t>
      </w:r>
      <w:proofErr w:type="spellEnd"/>
      <w:r>
        <w:t xml:space="preserve"> tax discussions. </w:t>
      </w:r>
    </w:p>
    <w:p w14:paraId="6ECE3CA1" w14:textId="3FEEEF9D" w:rsidR="00CD560F" w:rsidRDefault="00CD560F" w:rsidP="00CD560F">
      <w:pPr>
        <w:pStyle w:val="ListParagraph"/>
        <w:numPr>
          <w:ilvl w:val="1"/>
          <w:numId w:val="1"/>
        </w:numPr>
      </w:pPr>
      <w:r>
        <w:t xml:space="preserve">Tax form in key paper not necessary. Reconciliation with the first sentence of the paper with Figure 1. </w:t>
      </w:r>
    </w:p>
    <w:p w14:paraId="4A020F68" w14:textId="1CCAE14D" w:rsidR="00CD560F" w:rsidRDefault="00CD560F" w:rsidP="00CD560F">
      <w:pPr>
        <w:pStyle w:val="ListParagraph"/>
        <w:numPr>
          <w:ilvl w:val="0"/>
          <w:numId w:val="1"/>
        </w:numPr>
      </w:pPr>
      <w:r>
        <w:t>Letter 3</w:t>
      </w:r>
    </w:p>
    <w:p w14:paraId="4FE8CDDC" w14:textId="526E9372" w:rsidR="00CD560F" w:rsidRDefault="00CD560F" w:rsidP="00CD560F">
      <w:pPr>
        <w:pStyle w:val="ListParagraph"/>
        <w:numPr>
          <w:ilvl w:val="1"/>
          <w:numId w:val="1"/>
        </w:numPr>
      </w:pPr>
      <w:r>
        <w:t>Heterogeneous returns to equity</w:t>
      </w:r>
    </w:p>
    <w:p w14:paraId="72C81F3E" w14:textId="44E9288D" w:rsidR="00CD560F" w:rsidRDefault="00CD560F" w:rsidP="00CD560F">
      <w:pPr>
        <w:pStyle w:val="ListParagraph"/>
        <w:numPr>
          <w:ilvl w:val="1"/>
          <w:numId w:val="1"/>
        </w:numPr>
      </w:pPr>
      <w:r>
        <w:t>Incidence of tenant-occupied residential real estate</w:t>
      </w:r>
    </w:p>
    <w:p w14:paraId="1467AF56" w14:textId="2E582964" w:rsidR="00CD560F" w:rsidRDefault="00CD560F" w:rsidP="00CD560F">
      <w:pPr>
        <w:pStyle w:val="ListParagraph"/>
        <w:numPr>
          <w:ilvl w:val="1"/>
          <w:numId w:val="1"/>
        </w:numPr>
      </w:pPr>
      <w:r>
        <w:t>Use of tax return addresses</w:t>
      </w:r>
    </w:p>
    <w:p w14:paraId="26F56C59" w14:textId="0402A838" w:rsidR="00CD560F" w:rsidRDefault="00CD560F" w:rsidP="00CD560F">
      <w:pPr>
        <w:pStyle w:val="ListParagraph"/>
        <w:numPr>
          <w:ilvl w:val="1"/>
          <w:numId w:val="1"/>
        </w:numPr>
      </w:pPr>
      <w:r>
        <w:t>Focusing the paper --- too many results</w:t>
      </w:r>
    </w:p>
    <w:p w14:paraId="061B9B73" w14:textId="18A86138" w:rsidR="00CD560F" w:rsidRDefault="00CD560F" w:rsidP="00CD560F">
      <w:pPr>
        <w:pStyle w:val="ListParagraph"/>
        <w:numPr>
          <w:ilvl w:val="1"/>
          <w:numId w:val="1"/>
        </w:numPr>
      </w:pPr>
      <w:r>
        <w:lastRenderedPageBreak/>
        <w:t xml:space="preserve">Interest driven revaluations of equity and housing. </w:t>
      </w:r>
    </w:p>
    <w:p w14:paraId="485C3DD1" w14:textId="34680C47" w:rsidR="006166B9" w:rsidRDefault="006166B9" w:rsidP="006166B9">
      <w:pPr>
        <w:pStyle w:val="ListParagraph"/>
        <w:numPr>
          <w:ilvl w:val="0"/>
          <w:numId w:val="1"/>
        </w:numPr>
      </w:pPr>
      <w:r>
        <w:t>Letter 4</w:t>
      </w:r>
    </w:p>
    <w:p w14:paraId="576A68CF" w14:textId="15460CD7" w:rsidR="006166B9" w:rsidRDefault="006166B9" w:rsidP="006166B9">
      <w:pPr>
        <w:pStyle w:val="ListParagraph"/>
        <w:numPr>
          <w:ilvl w:val="1"/>
          <w:numId w:val="1"/>
        </w:numPr>
      </w:pPr>
      <w:r>
        <w:t xml:space="preserve">Highlight differences relative to SZZ --- showing that our method is different or more accurate. Bottom line is that readers deserve a more explicit explanation. </w:t>
      </w:r>
    </w:p>
    <w:p w14:paraId="02F89EE7" w14:textId="6C977998" w:rsidR="006166B9" w:rsidRDefault="006166B9" w:rsidP="006166B9">
      <w:pPr>
        <w:pStyle w:val="ListParagraph"/>
        <w:numPr>
          <w:ilvl w:val="1"/>
          <w:numId w:val="1"/>
        </w:numPr>
      </w:pPr>
      <w:r>
        <w:t xml:space="preserve">Possible to do simulations assuming heterogeneous returns on equity? </w:t>
      </w:r>
    </w:p>
    <w:p w14:paraId="22EC83CD" w14:textId="108A8D0D" w:rsidR="006166B9" w:rsidRDefault="006166B9" w:rsidP="006166B9">
      <w:pPr>
        <w:pStyle w:val="ListParagraph"/>
        <w:numPr>
          <w:ilvl w:val="0"/>
          <w:numId w:val="1"/>
        </w:numPr>
      </w:pPr>
      <w:r>
        <w:t xml:space="preserve">Letter 5 </w:t>
      </w:r>
    </w:p>
    <w:p w14:paraId="151D8283" w14:textId="5D2942A8" w:rsidR="006166B9" w:rsidRDefault="00EC0C12" w:rsidP="006166B9">
      <w:pPr>
        <w:pStyle w:val="ListParagraph"/>
        <w:numPr>
          <w:ilvl w:val="1"/>
          <w:numId w:val="1"/>
        </w:numPr>
      </w:pPr>
      <w:r>
        <w:t>Sensitivity Analysis --- how do the results change if we assume different cap factors or het returns?</w:t>
      </w:r>
    </w:p>
    <w:p w14:paraId="77FB25EB" w14:textId="1C09CCAC" w:rsidR="00EC0C12" w:rsidRDefault="00EC0C12" w:rsidP="00EC0C12">
      <w:pPr>
        <w:pStyle w:val="ListParagraph"/>
        <w:numPr>
          <w:ilvl w:val="2"/>
          <w:numId w:val="1"/>
        </w:numPr>
      </w:pPr>
      <w:r>
        <w:t>Can we do business heterogeneous returns?</w:t>
      </w:r>
    </w:p>
    <w:p w14:paraId="21D64B63" w14:textId="638A2CAE" w:rsidR="00EC0C12" w:rsidRDefault="00EC0C12" w:rsidP="00EC0C12">
      <w:pPr>
        <w:pStyle w:val="ListParagraph"/>
        <w:numPr>
          <w:ilvl w:val="1"/>
          <w:numId w:val="1"/>
        </w:numPr>
      </w:pPr>
      <w:r>
        <w:t xml:space="preserve">We don’t fully describe how partnerships are related to individuals. </w:t>
      </w:r>
    </w:p>
    <w:p w14:paraId="3FA6AEE2" w14:textId="5670FAA6" w:rsidR="00EC0C12" w:rsidRDefault="00EC0C12" w:rsidP="00EC0C12">
      <w:pPr>
        <w:pStyle w:val="ListParagraph"/>
        <w:numPr>
          <w:ilvl w:val="1"/>
          <w:numId w:val="1"/>
        </w:numPr>
      </w:pPr>
      <w:r>
        <w:t xml:space="preserve">Additional issues, details with partnerships. </w:t>
      </w:r>
    </w:p>
    <w:p w14:paraId="5EF6D59F" w14:textId="379348A8" w:rsidR="00EC0C12" w:rsidRDefault="00EC0C12" w:rsidP="00EC0C12">
      <w:pPr>
        <w:pStyle w:val="ListParagraph"/>
        <w:numPr>
          <w:ilvl w:val="1"/>
          <w:numId w:val="1"/>
        </w:numPr>
      </w:pPr>
      <w:r>
        <w:t xml:space="preserve">Defense of capital gains in Haig-Simons is half-baked --- DOUBLE COUNTING. </w:t>
      </w:r>
    </w:p>
    <w:p w14:paraId="3D0307B6" w14:textId="77777777" w:rsidR="005C5442" w:rsidRDefault="005C5442" w:rsidP="005C5442"/>
    <w:p w14:paraId="49AB0D85" w14:textId="0E1FA014" w:rsidR="005C5442" w:rsidRDefault="005C5442" w:rsidP="005C5442">
      <w:r>
        <w:t>Canberra group</w:t>
      </w:r>
      <w:r w:rsidR="005A36E7">
        <w:t xml:space="preserve">’s 2001 report on the measurement of income in national accounts raises an important concern about whether </w:t>
      </w:r>
      <w:r w:rsidR="00AC0E4E">
        <w:t xml:space="preserve">the </w:t>
      </w:r>
      <w:r w:rsidR="005A36E7">
        <w:t>capital gains double count income</w:t>
      </w:r>
      <w:r>
        <w:t>. “If the value of a share increases because of the increased performance of the company concerned, the increase in the share will be related to the increase in dividends expected in the coming years. To count both as income would be to count the same income flow in two periods.”</w:t>
      </w:r>
      <w:r w:rsidR="00AC0E4E">
        <w:t xml:space="preserve"> </w:t>
      </w:r>
    </w:p>
    <w:p w14:paraId="63CF4908" w14:textId="38FAC1CA" w:rsidR="005C5442" w:rsidRPr="007120F0" w:rsidRDefault="005A36E7" w:rsidP="005C5442">
      <w:r>
        <w:t xml:space="preserve">This analysis, however, overlooks the fact that paying out dividends </w:t>
      </w:r>
      <w:r>
        <w:rPr>
          <w:i/>
          <w:iCs/>
        </w:rPr>
        <w:t xml:space="preserve">reduces </w:t>
      </w:r>
      <w:r>
        <w:t xml:space="preserve">the market value of the </w:t>
      </w:r>
      <w:r w:rsidR="00495BF2">
        <w:t>shares approximately</w:t>
      </w:r>
      <w:r>
        <w:t xml:space="preserve"> one-to-one</w:t>
      </w:r>
      <w:r w:rsidR="00495BF2">
        <w:t xml:space="preserve"> with payouts. (Allen and Michaely, 2003). There </w:t>
      </w:r>
      <w:proofErr w:type="gramStart"/>
      <w:r w:rsidR="00495BF2">
        <w:t xml:space="preserve">will be </w:t>
      </w:r>
      <w:r w:rsidR="007120F0">
        <w:t xml:space="preserve">thus </w:t>
      </w:r>
      <w:r w:rsidR="00495BF2">
        <w:t>never be</w:t>
      </w:r>
      <w:proofErr w:type="gramEnd"/>
      <w:r w:rsidR="00495BF2">
        <w:t xml:space="preserve"> a double counting of income: </w:t>
      </w:r>
      <w:r w:rsidR="007120F0">
        <w:t xml:space="preserve">any future payout of dividends will be properly </w:t>
      </w:r>
      <w:r w:rsidR="007120F0">
        <w:rPr>
          <w:i/>
          <w:iCs/>
        </w:rPr>
        <w:t>subtracted</w:t>
      </w:r>
      <w:r w:rsidR="007120F0">
        <w:t xml:space="preserve"> from future Haig-Simons income since shares prices decline on the ex-dividend date. </w:t>
      </w:r>
    </w:p>
    <w:p w14:paraId="01CC0E59" w14:textId="1067D0E2" w:rsidR="00B131B4" w:rsidRDefault="00B131B4" w:rsidP="005C5442">
      <w:r>
        <w:t xml:space="preserve">To see this, consider the price of a Lucas Tree that pays out the value of one fruit every year for five years, each </w:t>
      </w:r>
      <w:r w:rsidR="007120F0">
        <w:t xml:space="preserve">of </w:t>
      </w:r>
      <w:r>
        <w:t>which</w:t>
      </w:r>
      <w:r w:rsidR="008818B0">
        <w:t xml:space="preserve"> sells for $1</w:t>
      </w:r>
      <w:r>
        <w:t xml:space="preserve">. </w:t>
      </w:r>
      <w:r w:rsidR="007120F0">
        <w:t>Assuming a discount rate on future profits of 0%, the present value of the tree is</w:t>
      </w:r>
      <w:r>
        <w:t xml:space="preserve"> $5. </w:t>
      </w:r>
    </w:p>
    <w:p w14:paraId="3A63E4B7" w14:textId="69AE7AFE" w:rsidR="00B131B4" w:rsidRDefault="00B131B4" w:rsidP="005C5442">
      <w:r>
        <w:t xml:space="preserve">Now, </w:t>
      </w:r>
      <w:r w:rsidR="007120F0">
        <w:t xml:space="preserve">assume </w:t>
      </w:r>
      <w:r>
        <w:t xml:space="preserve">there </w:t>
      </w:r>
      <w:r w:rsidR="008818B0">
        <w:t xml:space="preserve">is an increase in </w:t>
      </w:r>
      <w:r w:rsidR="007120F0">
        <w:t>fruit productivity, such that each tree produces</w:t>
      </w:r>
      <w:r w:rsidR="008818B0">
        <w:t xml:space="preserve"> 2 fruits </w:t>
      </w:r>
      <w:r w:rsidR="007120F0">
        <w:t>per year. Over the tree’s life, a total of 5 additional fruit will be produced. The real increase in consumption this engenders, in present value dollar terms, is</w:t>
      </w:r>
      <w:r w:rsidR="00763C07">
        <w:t xml:space="preserve"> $5. Does the Haig-Simons concept double count this</w:t>
      </w:r>
      <w:r w:rsidR="00AC0E4E">
        <w:t xml:space="preserve"> as $10</w:t>
      </w:r>
      <w:r w:rsidR="00763C07">
        <w:t xml:space="preserve">? </w:t>
      </w:r>
    </w:p>
    <w:p w14:paraId="38F20542" w14:textId="1CEF0E63" w:rsidR="00267681" w:rsidRDefault="00763C07" w:rsidP="005C5442">
      <w:r>
        <w:t>Haig-</w:t>
      </w:r>
      <w:proofErr w:type="gramStart"/>
      <w:r>
        <w:t>Simons</w:t>
      </w:r>
      <w:proofErr w:type="gramEnd"/>
      <w:r>
        <w:t xml:space="preserve"> income in year 1 equals current income ($2 from the fruit dividend) plus the change in value of the tree, which increases from 5 at the beginning of the year to 8 at the end of the year. Total Haig-</w:t>
      </w:r>
      <w:proofErr w:type="gramStart"/>
      <w:r>
        <w:t>Simons</w:t>
      </w:r>
      <w:proofErr w:type="gramEnd"/>
      <w:r>
        <w:t xml:space="preserve"> income is thus $5. In year’s 2-3, Haig-</w:t>
      </w:r>
      <w:proofErr w:type="gramStart"/>
      <w:r>
        <w:t>Simons</w:t>
      </w:r>
      <w:proofErr w:type="gramEnd"/>
      <w:r>
        <w:t xml:space="preserve"> income is </w:t>
      </w:r>
      <w:r>
        <w:lastRenderedPageBreak/>
        <w:t>0</w:t>
      </w:r>
      <w:r w:rsidR="00AC0E4E">
        <w:t xml:space="preserve">: positive </w:t>
      </w:r>
      <w:r>
        <w:t xml:space="preserve">$2 from fruit dividends, </w:t>
      </w:r>
      <w:r w:rsidR="00AC0E4E">
        <w:t xml:space="preserve">and </w:t>
      </w:r>
      <w:r>
        <w:t xml:space="preserve">minus $2 from a decline in the tree’s value.  The total Haig-Simons income from increase in future productivity is thus </w:t>
      </w:r>
      <w:r w:rsidR="00AC0E4E">
        <w:t xml:space="preserve">$5. </w:t>
      </w:r>
    </w:p>
    <w:p w14:paraId="36D9A59B" w14:textId="2705EBA1" w:rsidR="004248A7" w:rsidRDefault="007A6E17" w:rsidP="004248A7">
      <w:r>
        <w:t>A second</w:t>
      </w:r>
      <w:r w:rsidR="00677CA7">
        <w:t xml:space="preserve"> important</w:t>
      </w:r>
      <w:r>
        <w:t xml:space="preserve"> concern about the use of capital gains </w:t>
      </w:r>
      <w:r w:rsidR="00267681">
        <w:t xml:space="preserve">as the part of the income measure is there has been a substantial decline in interest rates in the United States and globally since the 1980s, which in turn has contributed </w:t>
      </w:r>
      <w:r w:rsidR="00677CA7">
        <w:t>a</w:t>
      </w:r>
      <w:r w:rsidR="00267681">
        <w:t xml:space="preserve"> dramatic rise in asset prices. The effect of interest rate changes on welfare, however, is not necessarily proportionate to the change in asset prices. A rentier owning a consul that yields a real income stream of $100 per annum, who does not plan to sell, is neither better nor worse off if a decline </w:t>
      </w:r>
      <w:r w:rsidR="004248A7">
        <w:t>in</w:t>
      </w:r>
      <w:r w:rsidR="00267681">
        <w:t xml:space="preserve"> interest rates increases the security’s market value. </w:t>
      </w:r>
      <w:proofErr w:type="spellStart"/>
      <w:r w:rsidR="004248A7" w:rsidRPr="004248A7">
        <w:t>Auclert</w:t>
      </w:r>
      <w:proofErr w:type="spellEnd"/>
      <w:r w:rsidR="004248A7" w:rsidRPr="004248A7">
        <w:t xml:space="preserve"> (2019) shows that for a temporary change in interest rates, the welfare effect is proportional to a household’s unhedged interest</w:t>
      </w:r>
      <w:r w:rsidR="004248A7">
        <w:t xml:space="preserve"> </w:t>
      </w:r>
      <w:r w:rsidR="004248A7" w:rsidRPr="004248A7">
        <w:t>rate exposure. Fagereng et al. (2024) show for the general case that the change</w:t>
      </w:r>
      <w:r w:rsidR="004248A7">
        <w:t xml:space="preserve"> </w:t>
      </w:r>
      <w:r w:rsidR="004248A7" w:rsidRPr="004248A7">
        <w:t>in welfare from an interest rate change is proportional to the present value of an</w:t>
      </w:r>
      <w:r w:rsidR="004248A7">
        <w:t xml:space="preserve"> </w:t>
      </w:r>
      <w:r w:rsidR="004248A7" w:rsidRPr="004248A7">
        <w:t>individual’s net asset sales. If all changes in asset prices were from changes in</w:t>
      </w:r>
      <w:r w:rsidR="004248A7">
        <w:t xml:space="preserve"> </w:t>
      </w:r>
      <w:r w:rsidR="004248A7" w:rsidRPr="004248A7">
        <w:t>expected returns, it would not be appropriate to include capital gains as part of</w:t>
      </w:r>
      <w:r w:rsidR="004248A7">
        <w:t xml:space="preserve"> </w:t>
      </w:r>
      <w:r w:rsidR="004248A7" w:rsidRPr="004248A7">
        <w:t>the income measure.</w:t>
      </w:r>
    </w:p>
    <w:p w14:paraId="592BA2F2" w14:textId="7A1704A3" w:rsidR="009957CE" w:rsidRDefault="009957CE" w:rsidP="004248A7">
      <w:r>
        <w:t xml:space="preserve">The focus on this paper is on long-run movements in asset prices, and not </w:t>
      </w:r>
      <w:proofErr w:type="gramStart"/>
      <w:r>
        <w:t>short term</w:t>
      </w:r>
      <w:proofErr w:type="gramEnd"/>
      <w:r>
        <w:t xml:space="preserve"> fluctuations due to market movements. All estimates use five year moving averages of returns. It is an open question the extent to which these </w:t>
      </w:r>
      <w:r w:rsidRPr="009957CE">
        <w:rPr>
          <w:i/>
          <w:iCs/>
        </w:rPr>
        <w:t>long-run</w:t>
      </w:r>
      <w:r>
        <w:t xml:space="preserve"> movements in asset prices are driven by changes in earnings versus shifts in interest rates. </w:t>
      </w:r>
    </w:p>
    <w:p w14:paraId="5C14B59A" w14:textId="0A2DD1CF" w:rsidR="009957CE" w:rsidRDefault="009957CE" w:rsidP="004248A7">
      <w:r>
        <w:t xml:space="preserve">We begin by </w:t>
      </w:r>
      <w:r w:rsidR="008835C8">
        <w:t>quantifying</w:t>
      </w:r>
      <w:r>
        <w:t xml:space="preserve"> the effect of the decline in the natural rate of interest on stock market values. </w:t>
      </w:r>
      <w:r w:rsidR="008835C8">
        <w:t xml:space="preserve">We value the S&amp;P 500 using a multi-stage dividend discount / free cash flow to equity model in the spirit of Damodaran (2012) and </w:t>
      </w:r>
      <w:proofErr w:type="spellStart"/>
      <w:r w:rsidR="008835C8">
        <w:t>Panigirtzoglou</w:t>
      </w:r>
      <w:proofErr w:type="spellEnd"/>
      <w:r w:rsidR="008835C8">
        <w:t xml:space="preserve"> and </w:t>
      </w:r>
      <w:proofErr w:type="spellStart"/>
      <w:r w:rsidR="008835C8">
        <w:t>Leoys</w:t>
      </w:r>
      <w:proofErr w:type="spellEnd"/>
      <w:r w:rsidR="008835C8">
        <w:t xml:space="preserve"> (2005), with cash flows defined as dividends plus net share repurchases and near-term growth tied to analysts’ earnings forecasts from IBES. We then estimate the change in the value of the index every year that is due to the change in the </w:t>
      </w:r>
      <w:proofErr w:type="gramStart"/>
      <w:r w:rsidR="008835C8">
        <w:t>risk free</w:t>
      </w:r>
      <w:proofErr w:type="gramEnd"/>
      <w:r w:rsidR="008835C8">
        <w:t xml:space="preserve"> interest rate, measured as in Damodaran as the </w:t>
      </w:r>
      <w:proofErr w:type="gramStart"/>
      <w:r w:rsidR="008835C8">
        <w:t>10 year</w:t>
      </w:r>
      <w:proofErr w:type="gramEnd"/>
      <w:r w:rsidR="008835C8">
        <w:t xml:space="preserve"> </w:t>
      </w:r>
      <w:r w:rsidR="00B968CA">
        <w:t>T</w:t>
      </w:r>
      <w:r w:rsidR="008835C8">
        <w:t xml:space="preserve">reasury yield. </w:t>
      </w:r>
      <w:r w:rsidR="00B968CA">
        <w:t xml:space="preserve">The return on the index in year </w:t>
      </w:r>
      <w:r w:rsidR="00B968CA">
        <w:rPr>
          <w:i/>
          <w:iCs/>
        </w:rPr>
        <w:t>t</w:t>
      </w:r>
      <w:r w:rsidR="00B968CA">
        <w:t xml:space="preserve">, the interest rate revaluation return, equals </w:t>
      </w:r>
    </w:p>
    <w:p w14:paraId="5BA0FA07" w14:textId="718B2FAD" w:rsidR="00B968CA" w:rsidRDefault="00B968CA" w:rsidP="004248A7">
      <w:proofErr w:type="spellStart"/>
      <w:r>
        <w:t>V_t</w:t>
      </w:r>
      <w:proofErr w:type="spellEnd"/>
      <w:r>
        <w:t xml:space="preserve"> (</w:t>
      </w:r>
      <w:proofErr w:type="spellStart"/>
      <w:r>
        <w:t>r_t</w:t>
      </w:r>
      <w:proofErr w:type="spellEnd"/>
      <w:r>
        <w:t xml:space="preserve">) / </w:t>
      </w:r>
      <w:proofErr w:type="spellStart"/>
      <w:r>
        <w:t>V_t</w:t>
      </w:r>
      <w:proofErr w:type="spellEnd"/>
      <w:r>
        <w:t>(r_(t+1)) – 1</w:t>
      </w:r>
    </w:p>
    <w:p w14:paraId="57C3EAD2" w14:textId="6D5E5253" w:rsidR="00F7582D" w:rsidRDefault="00B968CA" w:rsidP="004248A7">
      <w:r>
        <w:t xml:space="preserve">Figure 1 </w:t>
      </w:r>
      <w:r w:rsidR="006C6EC0">
        <w:t xml:space="preserve">shows several measures of how interest rates have </w:t>
      </w:r>
      <w:r w:rsidR="00677CA7">
        <w:t xml:space="preserve">declined over time: both the </w:t>
      </w:r>
      <w:proofErr w:type="gramStart"/>
      <w:r w:rsidR="00677CA7">
        <w:t>10 year</w:t>
      </w:r>
      <w:proofErr w:type="gramEnd"/>
      <w:r w:rsidR="00677CA7">
        <w:t xml:space="preserve"> treasury yield, the estimated natural rate of interest from Laubach &amp; Williams, and </w:t>
      </w:r>
      <w:r w:rsidR="00F7582D">
        <w:t xml:space="preserve">the Federal Funds rate have declined precipitously since the 1980s. We note, however, </w:t>
      </w:r>
      <w:proofErr w:type="gramStart"/>
      <w:r w:rsidR="00F7582D">
        <w:t>the majority of</w:t>
      </w:r>
      <w:proofErr w:type="gramEnd"/>
      <w:r w:rsidR="00F7582D">
        <w:t xml:space="preserve"> this decline occurred in the 1980s and 1990s, prior to the beginning of our sample period in 2002. From 2002-2021, the 10-year treasury yield declined by 2.3%, and the Laubach &amp; Williams estimate of the natural rate declined by 1.0%. </w:t>
      </w:r>
    </w:p>
    <w:p w14:paraId="374E4326" w14:textId="62C2ED47" w:rsidR="008A028F" w:rsidRDefault="007F632C" w:rsidP="004248A7">
      <w:r>
        <w:t xml:space="preserve">These declines in the discount rate can only explain a small proportion of the variation of  </w:t>
      </w:r>
    </w:p>
    <w:p w14:paraId="63A417A5" w14:textId="239168BE" w:rsidR="008A028F" w:rsidRDefault="008A028F" w:rsidP="004248A7">
      <w:r>
        <w:lastRenderedPageBreak/>
        <w:t xml:space="preserve">A more extreme </w:t>
      </w:r>
      <w:r w:rsidR="008B34CD">
        <w:t xml:space="preserve">version of this </w:t>
      </w:r>
      <w:r>
        <w:t xml:space="preserve">is </w:t>
      </w:r>
      <w:r w:rsidR="008B34CD">
        <w:t>elucidated in</w:t>
      </w:r>
      <w:r>
        <w:t xml:space="preserve"> </w:t>
      </w:r>
      <w:proofErr w:type="spellStart"/>
      <w:r w:rsidR="008B34CD">
        <w:t>Fagareng</w:t>
      </w:r>
      <w:proofErr w:type="spellEnd"/>
      <w:r w:rsidR="008B34CD">
        <w:t xml:space="preserve">. </w:t>
      </w:r>
      <w:r w:rsidR="00EF54A0">
        <w:t>Beginning</w:t>
      </w:r>
      <w:r w:rsidR="008B34CD">
        <w:t xml:space="preserve"> from the </w:t>
      </w:r>
      <w:r w:rsidR="00EF54A0">
        <w:t>well-supported</w:t>
      </w:r>
      <w:r w:rsidR="008B34CD">
        <w:t xml:space="preserve"> </w:t>
      </w:r>
      <w:r w:rsidR="00EF54A0">
        <w:t>premise</w:t>
      </w:r>
      <w:r w:rsidR="008B34CD">
        <w:t xml:space="preserve"> in the finance literature that </w:t>
      </w:r>
      <w:proofErr w:type="gramStart"/>
      <w:r w:rsidR="008B34CD">
        <w:t>the vast majority of</w:t>
      </w:r>
      <w:proofErr w:type="gramEnd"/>
      <w:r w:rsidR="008B34CD">
        <w:t xml:space="preserve"> changes in asset prices are due to changes in </w:t>
      </w:r>
      <w:r w:rsidR="008B34CD">
        <w:rPr>
          <w:i/>
          <w:iCs/>
        </w:rPr>
        <w:t>discount rates</w:t>
      </w:r>
      <w:r w:rsidR="00EF54A0">
        <w:t>, they argue that capital gains due to changes in earnings are “knife edge cases”, and</w:t>
      </w:r>
      <w:r w:rsidR="00F2751F">
        <w:t xml:space="preserve"> it is inappropriate to use a Haig-Simons income concept. </w:t>
      </w:r>
    </w:p>
    <w:p w14:paraId="75365CAB" w14:textId="4CB7E90A" w:rsidR="00F2751F" w:rsidRDefault="00F2751F" w:rsidP="004248A7">
      <w:r>
        <w:t>In response, I will show that (</w:t>
      </w:r>
      <w:proofErr w:type="spellStart"/>
      <w:r>
        <w:t>i</w:t>
      </w:r>
      <w:proofErr w:type="spellEnd"/>
      <w:r>
        <w:t xml:space="preserve">) </w:t>
      </w:r>
      <w:proofErr w:type="spellStart"/>
      <w:r>
        <w:t>Fagareng</w:t>
      </w:r>
      <w:proofErr w:type="spellEnd"/>
      <w:r>
        <w:t xml:space="preserve"> mis-apply the findings from the finance literature,  </w:t>
      </w:r>
      <w:r w:rsidR="001A46FA">
        <w:t>which</w:t>
      </w:r>
      <w:r>
        <w:t xml:space="preserve"> demean</w:t>
      </w:r>
      <w:r w:rsidR="001A46FA">
        <w:t>s</w:t>
      </w:r>
      <w:r>
        <w:t xml:space="preserve"> their data to eliminate the effects of long-run changes in cash flows (ii) the vast majority of long-run capital gains in US history have been due to changes in earnings, and not discount rates</w:t>
      </w:r>
      <w:r w:rsidR="008D6982">
        <w:t xml:space="preserve">, since P/E ratios are stationary while earnings are not. </w:t>
      </w:r>
    </w:p>
    <w:p w14:paraId="5876ABCC" w14:textId="320E2EC8" w:rsidR="00743FC8" w:rsidRPr="00F62578" w:rsidRDefault="00F62578" w:rsidP="004248A7">
      <w:r>
        <w:t xml:space="preserve">In order to argue that changes in earnings can be largely ignored, </w:t>
      </w:r>
      <w:proofErr w:type="spellStart"/>
      <w:r>
        <w:t>Fagareng</w:t>
      </w:r>
      <w:proofErr w:type="spellEnd"/>
      <w:r>
        <w:t xml:space="preserve"> cite the standard finance results from Shiller (1981) and Campbell and Shiller </w:t>
      </w:r>
      <w:r w:rsidR="008D6982">
        <w:t xml:space="preserve">(1988) </w:t>
      </w:r>
      <w:r>
        <w:t xml:space="preserve">that discount rates account for most asset price fluctuations. </w:t>
      </w:r>
      <w:r w:rsidR="00DB5AA9">
        <w:t>In</w:t>
      </w:r>
      <w:r w:rsidR="00AD4EC5">
        <w:t xml:space="preserve"> Figure 1</w:t>
      </w:r>
      <w:r w:rsidR="00DB5AA9">
        <w:t xml:space="preserve"> (a)</w:t>
      </w:r>
      <w:r w:rsidR="00AD4EC5">
        <w:t xml:space="preserve"> I replicate Shiller (1981)’s finding of </w:t>
      </w:r>
      <w:r w:rsidR="00AD4EC5">
        <w:rPr>
          <w:i/>
          <w:iCs/>
        </w:rPr>
        <w:t>excess volatility</w:t>
      </w:r>
      <w:r w:rsidR="00AD4EC5">
        <w:t xml:space="preserve">: </w:t>
      </w:r>
      <w:r w:rsidR="00DB5AA9">
        <w:t xml:space="preserve">stock prices P move around their long-term averages much more </w:t>
      </w:r>
      <w:r w:rsidR="00B303CA">
        <w:t>than</w:t>
      </w:r>
      <w:r w:rsidR="00DB5AA9">
        <w:t xml:space="preserve"> an average of their ex-post realized future dividends, P*. Figure 1 is an exact replication of Figure 1 of Shiller (1981) --- and importantly, both P and P* are </w:t>
      </w:r>
      <w:r w:rsidR="00743FC8">
        <w:rPr>
          <w:i/>
          <w:iCs/>
        </w:rPr>
        <w:t>detrended</w:t>
      </w:r>
      <w:r w:rsidR="00DB5AA9">
        <w:rPr>
          <w:i/>
          <w:iCs/>
        </w:rPr>
        <w:t xml:space="preserve"> by </w:t>
      </w:r>
      <w:r w:rsidR="00DB5AA9">
        <w:t xml:space="preserve">the average real growth of stock prices over the period. In other words, Shiller is </w:t>
      </w:r>
      <w:r w:rsidR="00DB5AA9">
        <w:rPr>
          <w:i/>
          <w:iCs/>
        </w:rPr>
        <w:t xml:space="preserve">implicitly </w:t>
      </w:r>
      <w:r w:rsidR="00743FC8">
        <w:rPr>
          <w:i/>
          <w:iCs/>
        </w:rPr>
        <w:t xml:space="preserve">excluding from his analysis long-run changes in stock prices and cash flows. </w:t>
      </w:r>
      <w:r>
        <w:t xml:space="preserve">He shows that stationary fluctuations in the price-dividend ratio around its long-run mean are primarily discount-rate news, and not that long-run changes in price </w:t>
      </w:r>
      <w:r>
        <w:rPr>
          <w:i/>
          <w:iCs/>
        </w:rPr>
        <w:t>levels</w:t>
      </w:r>
      <w:r>
        <w:t xml:space="preserve"> are due to discount rate changes.  </w:t>
      </w:r>
      <w:r w:rsidR="009D4CA1">
        <w:t>It is empirically invalid to apply these results to explain the secular level shifts in asset prices.</w:t>
      </w:r>
      <w:r w:rsidR="009D4CA1">
        <w:rPr>
          <w:rStyle w:val="FootnoteReference"/>
        </w:rPr>
        <w:footnoteReference w:id="1"/>
      </w:r>
      <w:r w:rsidR="009D4CA1">
        <w:t xml:space="preserve"> </w:t>
      </w:r>
    </w:p>
    <w:p w14:paraId="58205F10" w14:textId="2360F9B5" w:rsidR="00AD4EC5" w:rsidRDefault="00743FC8" w:rsidP="004248A7">
      <w:r>
        <w:t xml:space="preserve">In Figure (b), I extend Shiller’s analysis to 2021, </w:t>
      </w:r>
      <w:r w:rsidR="00B93E06">
        <w:t>and in addition</w:t>
      </w:r>
      <w:r>
        <w:t xml:space="preserve"> add-back the constant growth trend. The </w:t>
      </w:r>
      <w:r w:rsidR="00F72C9C">
        <w:t>figure</w:t>
      </w:r>
      <w:r>
        <w:t xml:space="preserve"> show</w:t>
      </w:r>
      <w:r w:rsidR="00F72C9C">
        <w:t>s</w:t>
      </w:r>
      <w:r>
        <w:t xml:space="preserve"> that </w:t>
      </w:r>
      <w:r w:rsidR="00F72C9C">
        <w:t>the short and medium deviations of prices from dividends</w:t>
      </w:r>
      <w:r w:rsidR="00B93E06">
        <w:t xml:space="preserve">, while significant, </w:t>
      </w:r>
      <w:r w:rsidR="00F72C9C">
        <w:t xml:space="preserve">pale in comparison to the common stochastic trend. </w:t>
      </w:r>
      <w:r>
        <w:t xml:space="preserve"> </w:t>
      </w:r>
      <w:r w:rsidR="00F72C9C">
        <w:t xml:space="preserve">Over the entire </w:t>
      </w:r>
      <w:proofErr w:type="gramStart"/>
      <w:r w:rsidR="00B303CA">
        <w:t>time period</w:t>
      </w:r>
      <w:proofErr w:type="gramEnd"/>
      <w:r w:rsidR="00F72C9C">
        <w:t xml:space="preserve">, real prices increased by a factor of 22, driven by an </w:t>
      </w:r>
      <w:proofErr w:type="gramStart"/>
      <w:r w:rsidR="00F72C9C">
        <w:t>11 fold</w:t>
      </w:r>
      <w:proofErr w:type="gramEnd"/>
      <w:r w:rsidR="00F72C9C">
        <w:t xml:space="preserve"> increase in earnings and a </w:t>
      </w:r>
      <w:proofErr w:type="gramStart"/>
      <w:r w:rsidR="00F72C9C">
        <w:rPr>
          <w:i/>
          <w:iCs/>
        </w:rPr>
        <w:t>2 fold</w:t>
      </w:r>
      <w:proofErr w:type="gramEnd"/>
      <w:r w:rsidR="00F72C9C">
        <w:t xml:space="preserve"> increase in the price to earnings ratio.  </w:t>
      </w:r>
      <w:r w:rsidR="00B303CA">
        <w:t xml:space="preserve">That is not to say that </w:t>
      </w:r>
      <w:r w:rsidR="001A46FA">
        <w:t xml:space="preserve">there are not extended periods of heightened valuations; in recent years PE ratios have risen to double their long run averages. If in the future the valuations reverse, the capital losses will be reflected in </w:t>
      </w:r>
      <w:r w:rsidR="008D6982">
        <w:t xml:space="preserve">measured income at the time, again this will not overturn the secular trend. </w:t>
      </w:r>
    </w:p>
    <w:p w14:paraId="13006F63" w14:textId="77777777" w:rsidR="00F62578" w:rsidRDefault="00F62578" w:rsidP="004248A7"/>
    <w:p w14:paraId="39D8617E" w14:textId="77777777" w:rsidR="001329D5" w:rsidRDefault="001329D5" w:rsidP="004248A7"/>
    <w:p w14:paraId="34D5B036" w14:textId="18C99641" w:rsidR="006D357F" w:rsidRPr="006D357F" w:rsidRDefault="001329D5" w:rsidP="004248A7">
      <w:pPr>
        <w:rPr>
          <w:i/>
          <w:iCs/>
        </w:rPr>
      </w:pPr>
      <w:proofErr w:type="spellStart"/>
      <w:r>
        <w:t>Fagarent</w:t>
      </w:r>
      <w:proofErr w:type="spellEnd"/>
      <w:r>
        <w:t>, in referencing</w:t>
      </w:r>
      <w:r w:rsidR="00D63B01">
        <w:t xml:space="preserve"> findings from the finance literature</w:t>
      </w:r>
      <w:r>
        <w:t xml:space="preserve">, claims that </w:t>
      </w:r>
      <w:r w:rsidR="00D63B01">
        <w:t>prior literature show that</w:t>
      </w:r>
      <w:r>
        <w:t xml:space="preserve"> changes in discount rates explain </w:t>
      </w:r>
      <w:proofErr w:type="gramStart"/>
      <w:r>
        <w:t xml:space="preserve">the </w:t>
      </w:r>
      <w:r w:rsidR="00D63B01">
        <w:t>majority of</w:t>
      </w:r>
      <w:proofErr w:type="gramEnd"/>
      <w:r w:rsidR="00D63B01">
        <w:t xml:space="preserve"> variation</w:t>
      </w:r>
      <w:r>
        <w:t xml:space="preserve"> “both at high </w:t>
      </w:r>
      <w:r>
        <w:lastRenderedPageBreak/>
        <w:t xml:space="preserve">frequencies </w:t>
      </w:r>
      <w:r>
        <w:rPr>
          <w:i/>
          <w:iCs/>
        </w:rPr>
        <w:t xml:space="preserve">and over </w:t>
      </w:r>
      <w:proofErr w:type="gramStart"/>
      <w:r>
        <w:rPr>
          <w:i/>
          <w:iCs/>
        </w:rPr>
        <w:t>long time</w:t>
      </w:r>
      <w:proofErr w:type="gramEnd"/>
      <w:r>
        <w:rPr>
          <w:i/>
          <w:iCs/>
        </w:rPr>
        <w:t xml:space="preserve"> horizons”. </w:t>
      </w:r>
      <w:r w:rsidR="00D63B01">
        <w:t xml:space="preserve">This is false. </w:t>
      </w:r>
      <w:r>
        <w:t xml:space="preserve">The </w:t>
      </w:r>
      <w:r w:rsidR="00D63B01">
        <w:t>exact list</w:t>
      </w:r>
      <w:r>
        <w:t xml:space="preserve"> of citations he </w:t>
      </w:r>
      <w:r w:rsidR="00D63B01">
        <w:t xml:space="preserve">provides in support </w:t>
      </w:r>
      <w:r>
        <w:rPr>
          <w:i/>
          <w:iCs/>
        </w:rPr>
        <w:t xml:space="preserve">does not support the assertion for long time horizons --- </w:t>
      </w:r>
      <w:r>
        <w:t xml:space="preserve">the cited papers show </w:t>
      </w:r>
      <w:r>
        <w:rPr>
          <w:i/>
          <w:iCs/>
        </w:rPr>
        <w:t>exactly the opposite</w:t>
      </w:r>
      <w:r>
        <w:t xml:space="preserve">. </w:t>
      </w:r>
      <w:r w:rsidR="00D63B01">
        <w:t xml:space="preserve">In particular, he cites Greenwald et al., who shows that 70% of long run changes in stock prices are due to cash flows and </w:t>
      </w:r>
      <w:proofErr w:type="gramStart"/>
      <w:r w:rsidR="00D63B01">
        <w:t>only  ~</w:t>
      </w:r>
      <w:proofErr w:type="gramEnd"/>
      <w:r w:rsidR="00D63B01">
        <w:t xml:space="preserve">30% due to discount rate changes. This finding </w:t>
      </w:r>
      <w:proofErr w:type="gramStart"/>
      <w:r w:rsidR="00AD4EC5">
        <w:t>similar to</w:t>
      </w:r>
      <w:proofErr w:type="gramEnd"/>
      <w:r w:rsidR="00D63B01">
        <w:t xml:space="preserve"> </w:t>
      </w:r>
      <w:proofErr w:type="spellStart"/>
      <w:r w:rsidR="00AD4EC5">
        <w:t>Eeckhout</w:t>
      </w:r>
      <w:proofErr w:type="spellEnd"/>
      <w:r w:rsidR="00AD4EC5">
        <w:t xml:space="preserve"> finds 80% of the rise of US stock market value is due to earnings, and only 20% due to changes in the discount rate. </w:t>
      </w:r>
      <w:proofErr w:type="spellStart"/>
      <w:r w:rsidR="006D357F">
        <w:t>Fagarent</w:t>
      </w:r>
      <w:proofErr w:type="spellEnd"/>
      <w:r w:rsidR="006D357F">
        <w:t xml:space="preserve"> also cite in the same context van </w:t>
      </w:r>
      <w:proofErr w:type="spellStart"/>
      <w:r w:rsidR="006D357F">
        <w:t>Binsbergetn</w:t>
      </w:r>
      <w:proofErr w:type="spellEnd"/>
      <w:r w:rsidR="006D357F">
        <w:t xml:space="preserve"> (2025), however this paper </w:t>
      </w:r>
      <w:r w:rsidR="006D357F">
        <w:rPr>
          <w:i/>
          <w:iCs/>
        </w:rPr>
        <w:t xml:space="preserve">does not provide any argument or evidence that changes in discount rates can explain </w:t>
      </w:r>
      <w:proofErr w:type="gramStart"/>
      <w:r w:rsidR="006D357F">
        <w:rPr>
          <w:i/>
          <w:iCs/>
        </w:rPr>
        <w:t>the majority of</w:t>
      </w:r>
      <w:proofErr w:type="gramEnd"/>
      <w:r w:rsidR="006D357F">
        <w:rPr>
          <w:i/>
          <w:iCs/>
        </w:rPr>
        <w:t xml:space="preserve"> long-run stock returns.</w:t>
      </w:r>
      <w:r w:rsidR="006D357F">
        <w:rPr>
          <w:rStyle w:val="FootnoteReference"/>
          <w:i/>
          <w:iCs/>
        </w:rPr>
        <w:footnoteReference w:id="2"/>
      </w:r>
      <w:r w:rsidR="006D357F">
        <w:rPr>
          <w:i/>
          <w:iCs/>
        </w:rPr>
        <w:t xml:space="preserve"> </w:t>
      </w:r>
    </w:p>
    <w:p w14:paraId="5B0CA614" w14:textId="77777777" w:rsidR="00DB5AA9" w:rsidRDefault="00DB5AA9" w:rsidP="004248A7"/>
    <w:p w14:paraId="79091705" w14:textId="2B698AFE" w:rsidR="00DB5AA9" w:rsidRPr="001329D5" w:rsidRDefault="00DB5AA9" w:rsidP="004248A7">
      <w:r>
        <w:t xml:space="preserve">That is not to say there cannot be long run bubbles irrational exuberance. But to claim that the run up in stock prices does not count of income is to throw out the baby with the bathwater. </w:t>
      </w:r>
    </w:p>
    <w:p w14:paraId="388DDC03" w14:textId="77777777" w:rsidR="00F2751F" w:rsidRDefault="00F2751F" w:rsidP="004248A7"/>
    <w:p w14:paraId="2EECD634" w14:textId="77777777" w:rsidR="00F2751F" w:rsidRDefault="00F2751F" w:rsidP="004248A7"/>
    <w:p w14:paraId="79AB47DC" w14:textId="77777777" w:rsidR="008B34CD" w:rsidRDefault="008B34CD" w:rsidP="004248A7"/>
    <w:p w14:paraId="3EBD13ED" w14:textId="584DDA3B" w:rsidR="008B34CD" w:rsidRPr="008B34CD" w:rsidRDefault="008B34CD" w:rsidP="004248A7">
      <w:r>
        <w:t xml:space="preserve">Logically impossible for changes in </w:t>
      </w:r>
      <w:r>
        <w:rPr>
          <w:i/>
          <w:iCs/>
        </w:rPr>
        <w:t>discount rates</w:t>
      </w:r>
      <w:r>
        <w:t xml:space="preserve"> to explain what we have seen. </w:t>
      </w:r>
    </w:p>
    <w:p w14:paraId="06AC8F4C" w14:textId="77777777" w:rsidR="002463E8" w:rsidRDefault="002463E8" w:rsidP="004248A7"/>
    <w:p w14:paraId="5C776693" w14:textId="4D8C3AB4" w:rsidR="002463E8" w:rsidRPr="00B20479" w:rsidRDefault="00B20479" w:rsidP="004248A7">
      <w:proofErr w:type="gramStart"/>
      <w:r>
        <w:t>More broad</w:t>
      </w:r>
      <w:proofErr w:type="gramEnd"/>
      <w:r>
        <w:t xml:space="preserve"> then changes in interest rates are changes in </w:t>
      </w:r>
      <w:r>
        <w:rPr>
          <w:i/>
          <w:iCs/>
        </w:rPr>
        <w:t xml:space="preserve">discount rates. </w:t>
      </w:r>
      <w:r>
        <w:t xml:space="preserve">A large literature exists show that stock price movements </w:t>
      </w:r>
    </w:p>
    <w:p w14:paraId="42A0C302" w14:textId="77777777" w:rsidR="00AC0E4E" w:rsidRDefault="00AC0E4E" w:rsidP="005C5442"/>
    <w:p w14:paraId="1A83D65A" w14:textId="7A13942A" w:rsidR="009D45D0" w:rsidRDefault="007F632C" w:rsidP="005C5442">
      <w:r>
        <w:t xml:space="preserve">The arguments of </w:t>
      </w:r>
      <w:proofErr w:type="spellStart"/>
      <w:r>
        <w:t>Fagareng</w:t>
      </w:r>
      <w:proofErr w:type="spellEnd"/>
      <w:r>
        <w:t xml:space="preserve"> have</w:t>
      </w:r>
      <w:r w:rsidR="009D45D0">
        <w:t xml:space="preserve"> abused the findings of Shiller that </w:t>
      </w:r>
    </w:p>
    <w:p w14:paraId="17291EF3" w14:textId="77777777" w:rsidR="008B34CD" w:rsidRDefault="008B34CD" w:rsidP="005C5442"/>
    <w:p w14:paraId="325C192F" w14:textId="12F56F7B" w:rsidR="008B34CD" w:rsidRDefault="008B34CD" w:rsidP="005C5442">
      <w:r>
        <w:t>Lo</w:t>
      </w:r>
    </w:p>
    <w:p w14:paraId="2726A06F" w14:textId="77777777" w:rsidR="009D45D0" w:rsidRDefault="009D45D0" w:rsidP="005C5442"/>
    <w:p w14:paraId="21B3B040" w14:textId="4EC2EDB9" w:rsidR="007F632C" w:rsidRDefault="007F632C" w:rsidP="005C5442">
      <w:r>
        <w:t xml:space="preserve"> inappropriate extended the results of Shiller to areas they did not touch on. </w:t>
      </w:r>
    </w:p>
    <w:p w14:paraId="38ED95DE" w14:textId="77777777" w:rsidR="005C5442" w:rsidRDefault="005C5442" w:rsidP="005C5442"/>
    <w:sectPr w:rsidR="005C54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A60E8" w14:textId="77777777" w:rsidR="001F7504" w:rsidRDefault="001F7504" w:rsidP="006D357F">
      <w:pPr>
        <w:spacing w:after="0" w:line="240" w:lineRule="auto"/>
      </w:pPr>
      <w:r>
        <w:separator/>
      </w:r>
    </w:p>
  </w:endnote>
  <w:endnote w:type="continuationSeparator" w:id="0">
    <w:p w14:paraId="7E087601" w14:textId="77777777" w:rsidR="001F7504" w:rsidRDefault="001F7504" w:rsidP="006D3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5C7EE" w14:textId="77777777" w:rsidR="001F7504" w:rsidRDefault="001F7504" w:rsidP="006D357F">
      <w:pPr>
        <w:spacing w:after="0" w:line="240" w:lineRule="auto"/>
      </w:pPr>
      <w:r>
        <w:separator/>
      </w:r>
    </w:p>
  </w:footnote>
  <w:footnote w:type="continuationSeparator" w:id="0">
    <w:p w14:paraId="75B2A174" w14:textId="77777777" w:rsidR="001F7504" w:rsidRDefault="001F7504" w:rsidP="006D357F">
      <w:pPr>
        <w:spacing w:after="0" w:line="240" w:lineRule="auto"/>
      </w:pPr>
      <w:r>
        <w:continuationSeparator/>
      </w:r>
    </w:p>
  </w:footnote>
  <w:footnote w:id="1">
    <w:p w14:paraId="542219DD" w14:textId="01D862DE" w:rsidR="009D4CA1" w:rsidRDefault="009D4CA1">
      <w:pPr>
        <w:pStyle w:val="FootnoteText"/>
      </w:pPr>
      <w:r>
        <w:rPr>
          <w:rStyle w:val="FootnoteReference"/>
        </w:rPr>
        <w:footnoteRef/>
      </w:r>
      <w:r>
        <w:t xml:space="preserve"> The Campbell-Shiller decomposition is </w:t>
      </w:r>
      <w:r w:rsidR="00411E7F">
        <w:t xml:space="preserve">done for dividend price ratios, which again absorbs secular growth in both factors. </w:t>
      </w:r>
    </w:p>
  </w:footnote>
  <w:footnote w:id="2">
    <w:p w14:paraId="753345FD" w14:textId="26A0A810" w:rsidR="006D357F" w:rsidRDefault="006D357F">
      <w:pPr>
        <w:pStyle w:val="FootnoteText"/>
      </w:pPr>
      <w:r>
        <w:rPr>
          <w:rStyle w:val="FootnoteReference"/>
        </w:rPr>
        <w:footnoteRef/>
      </w:r>
      <w:r>
        <w:t xml:space="preserve"> </w:t>
      </w:r>
      <w:r w:rsidR="00234B08">
        <w:t xml:space="preserve">Rather, </w:t>
      </w:r>
      <w:r>
        <w:t xml:space="preserve">Van </w:t>
      </w:r>
      <w:proofErr w:type="spellStart"/>
      <w:r>
        <w:t>Binsbergetn</w:t>
      </w:r>
      <w:proofErr w:type="spellEnd"/>
      <w:r>
        <w:t xml:space="preserve"> provides evidence that there is </w:t>
      </w:r>
      <w:r>
        <w:rPr>
          <w:i/>
          <w:iCs/>
        </w:rPr>
        <w:t xml:space="preserve">no excess </w:t>
      </w:r>
      <w:r w:rsidR="00234B08">
        <w:rPr>
          <w:i/>
          <w:iCs/>
        </w:rPr>
        <w:t xml:space="preserve">volatility for stocks as compared to a duration matched bond portfolio. </w:t>
      </w:r>
      <w:r>
        <w:t xml:space="preserve">The closet that van </w:t>
      </w:r>
      <w:proofErr w:type="spellStart"/>
      <w:r>
        <w:t>Binsbergetn</w:t>
      </w:r>
      <w:proofErr w:type="spellEnd"/>
      <w:r>
        <w:t xml:space="preserve"> comes to this question is computing dividend yields over several of their sample periods</w:t>
      </w:r>
      <w:r w:rsidR="00234B08">
        <w:t xml:space="preserve">, showing a decline in (overlapping sample periods), however this is only incidental and is far from supporting Fagareng’s point. Finally, van Binsbergetn does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7F5"/>
    <w:multiLevelType w:val="hybridMultilevel"/>
    <w:tmpl w:val="C30642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56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17C"/>
    <w:rsid w:val="0003096E"/>
    <w:rsid w:val="000C0BFD"/>
    <w:rsid w:val="001329D5"/>
    <w:rsid w:val="00164342"/>
    <w:rsid w:val="001A46FA"/>
    <w:rsid w:val="001E1385"/>
    <w:rsid w:val="001F7504"/>
    <w:rsid w:val="00234B08"/>
    <w:rsid w:val="002463E8"/>
    <w:rsid w:val="00267681"/>
    <w:rsid w:val="00411E7F"/>
    <w:rsid w:val="004248A7"/>
    <w:rsid w:val="00435203"/>
    <w:rsid w:val="00437B0D"/>
    <w:rsid w:val="00441BF1"/>
    <w:rsid w:val="00495BF2"/>
    <w:rsid w:val="004F5B0D"/>
    <w:rsid w:val="005A36E7"/>
    <w:rsid w:val="005C5442"/>
    <w:rsid w:val="005E2279"/>
    <w:rsid w:val="005E6ECE"/>
    <w:rsid w:val="006166B9"/>
    <w:rsid w:val="0062739C"/>
    <w:rsid w:val="00677CA7"/>
    <w:rsid w:val="006C6EC0"/>
    <w:rsid w:val="006D357F"/>
    <w:rsid w:val="006F71FF"/>
    <w:rsid w:val="0070317C"/>
    <w:rsid w:val="007120F0"/>
    <w:rsid w:val="00743FC8"/>
    <w:rsid w:val="0075155F"/>
    <w:rsid w:val="00763C07"/>
    <w:rsid w:val="0079243A"/>
    <w:rsid w:val="007A6E17"/>
    <w:rsid w:val="007F06E4"/>
    <w:rsid w:val="007F632C"/>
    <w:rsid w:val="008818B0"/>
    <w:rsid w:val="008835C8"/>
    <w:rsid w:val="008A028F"/>
    <w:rsid w:val="008B34CD"/>
    <w:rsid w:val="008D6982"/>
    <w:rsid w:val="008E1590"/>
    <w:rsid w:val="00906371"/>
    <w:rsid w:val="009957CE"/>
    <w:rsid w:val="009B5D3D"/>
    <w:rsid w:val="009D45D0"/>
    <w:rsid w:val="009D4CA1"/>
    <w:rsid w:val="009E75A1"/>
    <w:rsid w:val="00A25DFD"/>
    <w:rsid w:val="00AC0E4E"/>
    <w:rsid w:val="00AD4EC5"/>
    <w:rsid w:val="00AF4FD8"/>
    <w:rsid w:val="00B131B4"/>
    <w:rsid w:val="00B20479"/>
    <w:rsid w:val="00B303CA"/>
    <w:rsid w:val="00B93E06"/>
    <w:rsid w:val="00B968CA"/>
    <w:rsid w:val="00BD6883"/>
    <w:rsid w:val="00C37A81"/>
    <w:rsid w:val="00C908BD"/>
    <w:rsid w:val="00CB1E11"/>
    <w:rsid w:val="00CD560F"/>
    <w:rsid w:val="00D63B01"/>
    <w:rsid w:val="00D760A4"/>
    <w:rsid w:val="00DB5AA9"/>
    <w:rsid w:val="00E36C38"/>
    <w:rsid w:val="00E92616"/>
    <w:rsid w:val="00EB1568"/>
    <w:rsid w:val="00EC0C12"/>
    <w:rsid w:val="00EF54A0"/>
    <w:rsid w:val="00F2751F"/>
    <w:rsid w:val="00F33773"/>
    <w:rsid w:val="00F62578"/>
    <w:rsid w:val="00F70806"/>
    <w:rsid w:val="00F72C9C"/>
    <w:rsid w:val="00F75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AD1E9D"/>
  <w15:chartTrackingRefBased/>
  <w15:docId w15:val="{1B760319-FF3C-8C44-86D9-AC25868F9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17C"/>
    <w:rPr>
      <w:rFonts w:eastAsiaTheme="majorEastAsia" w:cstheme="majorBidi"/>
      <w:color w:val="272727" w:themeColor="text1" w:themeTint="D8"/>
    </w:rPr>
  </w:style>
  <w:style w:type="paragraph" w:styleId="Title">
    <w:name w:val="Title"/>
    <w:basedOn w:val="Normal"/>
    <w:next w:val="Normal"/>
    <w:link w:val="TitleChar"/>
    <w:uiPriority w:val="10"/>
    <w:qFormat/>
    <w:rsid w:val="0070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17C"/>
    <w:pPr>
      <w:spacing w:before="160"/>
      <w:jc w:val="center"/>
    </w:pPr>
    <w:rPr>
      <w:i/>
      <w:iCs/>
      <w:color w:val="404040" w:themeColor="text1" w:themeTint="BF"/>
    </w:rPr>
  </w:style>
  <w:style w:type="character" w:customStyle="1" w:styleId="QuoteChar">
    <w:name w:val="Quote Char"/>
    <w:basedOn w:val="DefaultParagraphFont"/>
    <w:link w:val="Quote"/>
    <w:uiPriority w:val="29"/>
    <w:rsid w:val="0070317C"/>
    <w:rPr>
      <w:i/>
      <w:iCs/>
      <w:color w:val="404040" w:themeColor="text1" w:themeTint="BF"/>
    </w:rPr>
  </w:style>
  <w:style w:type="paragraph" w:styleId="ListParagraph">
    <w:name w:val="List Paragraph"/>
    <w:basedOn w:val="Normal"/>
    <w:uiPriority w:val="34"/>
    <w:qFormat/>
    <w:rsid w:val="0070317C"/>
    <w:pPr>
      <w:ind w:left="720"/>
      <w:contextualSpacing/>
    </w:pPr>
  </w:style>
  <w:style w:type="character" w:styleId="IntenseEmphasis">
    <w:name w:val="Intense Emphasis"/>
    <w:basedOn w:val="DefaultParagraphFont"/>
    <w:uiPriority w:val="21"/>
    <w:qFormat/>
    <w:rsid w:val="0070317C"/>
    <w:rPr>
      <w:i/>
      <w:iCs/>
      <w:color w:val="0F4761" w:themeColor="accent1" w:themeShade="BF"/>
    </w:rPr>
  </w:style>
  <w:style w:type="paragraph" w:styleId="IntenseQuote">
    <w:name w:val="Intense Quote"/>
    <w:basedOn w:val="Normal"/>
    <w:next w:val="Normal"/>
    <w:link w:val="IntenseQuoteChar"/>
    <w:uiPriority w:val="30"/>
    <w:qFormat/>
    <w:rsid w:val="0070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17C"/>
    <w:rPr>
      <w:i/>
      <w:iCs/>
      <w:color w:val="0F4761" w:themeColor="accent1" w:themeShade="BF"/>
    </w:rPr>
  </w:style>
  <w:style w:type="character" w:styleId="IntenseReference">
    <w:name w:val="Intense Reference"/>
    <w:basedOn w:val="DefaultParagraphFont"/>
    <w:uiPriority w:val="32"/>
    <w:qFormat/>
    <w:rsid w:val="0070317C"/>
    <w:rPr>
      <w:b/>
      <w:bCs/>
      <w:smallCaps/>
      <w:color w:val="0F4761" w:themeColor="accent1" w:themeShade="BF"/>
      <w:spacing w:val="5"/>
    </w:rPr>
  </w:style>
  <w:style w:type="paragraph" w:customStyle="1" w:styleId="p1">
    <w:name w:val="p1"/>
    <w:basedOn w:val="Normal"/>
    <w:rsid w:val="005C5442"/>
    <w:pPr>
      <w:spacing w:after="0" w:line="240" w:lineRule="auto"/>
    </w:pPr>
    <w:rPr>
      <w:rFonts w:ascii="Times" w:eastAsia="Times New Roman" w:hAnsi="Times" w:cs="Times New Roman"/>
      <w:color w:val="141413"/>
      <w:kern w:val="0"/>
      <w:sz w:val="15"/>
      <w:szCs w:val="15"/>
      <w14:ligatures w14:val="none"/>
    </w:rPr>
  </w:style>
  <w:style w:type="paragraph" w:styleId="FootnoteText">
    <w:name w:val="footnote text"/>
    <w:basedOn w:val="Normal"/>
    <w:link w:val="FootnoteTextChar"/>
    <w:uiPriority w:val="99"/>
    <w:semiHidden/>
    <w:unhideWhenUsed/>
    <w:rsid w:val="006D35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357F"/>
    <w:rPr>
      <w:sz w:val="20"/>
      <w:szCs w:val="20"/>
    </w:rPr>
  </w:style>
  <w:style w:type="character" w:styleId="FootnoteReference">
    <w:name w:val="footnote reference"/>
    <w:basedOn w:val="DefaultParagraphFont"/>
    <w:uiPriority w:val="99"/>
    <w:semiHidden/>
    <w:unhideWhenUsed/>
    <w:rsid w:val="006D357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661A5-202C-5848-A19D-67B673EB3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1549</Words>
  <Characters>9376</Characters>
  <Application>Microsoft Office Word</Application>
  <DocSecurity>0</DocSecurity>
  <Lines>240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Robbins, Jacob A</dc:creator>
  <cp:keywords/>
  <dc:description/>
  <cp:lastModifiedBy>Robbins, Jacob A</cp:lastModifiedBy>
  <cp:revision>16</cp:revision>
  <dcterms:created xsi:type="dcterms:W3CDTF">2025-11-21T19:48:00Z</dcterms:created>
  <dcterms:modified xsi:type="dcterms:W3CDTF">2026-01-18T15:51:00Z</dcterms:modified>
</cp:coreProperties>
</file>