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Penjelasan Folder ML untuk Sistem Retail SIM</w:t>
      </w:r>
    </w:p>
    <w:p>
      <w:pPr>
        <w:jc w:val="center"/>
      </w:pPr>
      <w:r>
        <w:rPr>
          <w:i/>
        </w:rPr>
        <w:t>Dokumentasi teknis untuk bahan penjelasan metodologi dan implementasi jurnal</w:t>
      </w:r>
    </w:p>
    <w:p/>
    <w:p>
      <w:pPr>
        <w:pStyle w:val="Heading1"/>
      </w:pPr>
      <w:r>
        <w:t>1. Gambaran Umum</w:t>
      </w:r>
    </w:p>
    <w:p>
      <w:r>
        <w:t>Folder ml merupakan bagian sistem yang menangani peramalan permintaan produk dan perencanaan persediaan. Komponen di dalamnya digunakan untuk melakukan eksplorasi data, membangun fitur deret waktu, melatih model XGBoost, membandingkan hasilnya dengan baseline Holt-Winters, menghasilkan prediksi 14 hari, serta menghitung safety stock dan reorder point. Pipeline dapat dijalankan menggunakan data CSV untuk eksperimen maupun database MySQL untuk integrasi produksi.</w:t>
      </w:r>
    </w:p>
    <w:p>
      <w:pPr>
        <w:pStyle w:val="Heading1"/>
      </w:pPr>
      <w:r>
        <w:t>2. Struktur dan Fungsi File</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76B87"/>
          </w:tcPr>
          <w:p>
            <w:r/>
            <w:r>
              <w:rPr>
                <w:b/>
                <w:color w:val="FFFFFF"/>
              </w:rPr>
              <w:t>File/Folder</w:t>
            </w:r>
          </w:p>
        </w:tc>
        <w:tc>
          <w:tcPr>
            <w:tcW w:type="dxa" w:w="6912"/>
            <w:vAlign w:val="center"/>
            <w:shd w:fill="176B87"/>
          </w:tcPr>
          <w:p>
            <w:r/>
            <w:r>
              <w:rPr>
                <w:b/>
                <w:color w:val="FFFFFF"/>
              </w:rPr>
              <w:t>Fungsi</w:t>
            </w:r>
          </w:p>
        </w:tc>
      </w:tr>
      <w:tr>
        <w:tc>
          <w:tcPr>
            <w:tcW w:type="dxa" w:w="2880"/>
            <w:vAlign w:val="center"/>
            <w:shd w:fill="F2F6F8"/>
          </w:tcPr>
          <w:p>
            <w:r/>
            <w:r>
              <w:rPr>
                <w:b w:val="0"/>
              </w:rPr>
              <w:t>01_eksperimen.ipynb</w:t>
            </w:r>
          </w:p>
        </w:tc>
        <w:tc>
          <w:tcPr>
            <w:tcW w:type="dxa" w:w="6912"/>
            <w:vAlign w:val="center"/>
            <w:shd w:fill="F2F6F8"/>
          </w:tcPr>
          <w:p>
            <w:r/>
            <w:r>
              <w:rPr>
                <w:b w:val="0"/>
              </w:rPr>
              <w:t>Notebook utama untuk eksplorasi data, feature engineering, pelatihan model, evaluasi, dan visualisasi.</w:t>
            </w:r>
          </w:p>
        </w:tc>
      </w:tr>
      <w:tr>
        <w:tc>
          <w:tcPr>
            <w:tcW w:type="dxa" w:w="2880"/>
            <w:vAlign w:val="center"/>
          </w:tcPr>
          <w:p>
            <w:r/>
            <w:r>
              <w:rPr>
                <w:b w:val="0"/>
              </w:rPr>
              <w:t>evaluation_score.ipynb</w:t>
            </w:r>
          </w:p>
        </w:tc>
        <w:tc>
          <w:tcPr>
            <w:tcW w:type="dxa" w:w="6912"/>
            <w:vAlign w:val="center"/>
          </w:tcPr>
          <w:p>
            <w:r/>
            <w:r>
              <w:rPr>
                <w:b w:val="0"/>
              </w:rPr>
              <w:t>Notebook pendukung untuk analisis skor evaluasi model dan pemeriksaan hasil eksperimen.</w:t>
            </w:r>
          </w:p>
        </w:tc>
      </w:tr>
      <w:tr>
        <w:tc>
          <w:tcPr>
            <w:tcW w:type="dxa" w:w="2880"/>
            <w:vAlign w:val="center"/>
            <w:shd w:fill="F2F6F8"/>
          </w:tcPr>
          <w:p>
            <w:r/>
            <w:r>
              <w:rPr>
                <w:b w:val="0"/>
              </w:rPr>
              <w:t>predict.py</w:t>
            </w:r>
          </w:p>
        </w:tc>
        <w:tc>
          <w:tcPr>
            <w:tcW w:type="dxa" w:w="6912"/>
            <w:vAlign w:val="center"/>
            <w:shd w:fill="F2F6F8"/>
          </w:tcPr>
          <w:p>
            <w:r/>
            <w:r>
              <w:rPr>
                <w:b w:val="0"/>
              </w:rPr>
              <w:t>Script produksi yang menerima job prediksi, mengambil data CSV atau MySQL, melatih model, menghasilkan prediksi, evaluasi, dan rekomendasi.</w:t>
            </w:r>
          </w:p>
        </w:tc>
      </w:tr>
      <w:tr>
        <w:tc>
          <w:tcPr>
            <w:tcW w:type="dxa" w:w="2880"/>
            <w:vAlign w:val="center"/>
          </w:tcPr>
          <w:p>
            <w:r/>
            <w:r>
              <w:rPr>
                <w:b w:val="0"/>
              </w:rPr>
              <w:t>generate_report.py</w:t>
            </w:r>
          </w:p>
        </w:tc>
        <w:tc>
          <w:tcPr>
            <w:tcW w:type="dxa" w:w="6912"/>
            <w:vAlign w:val="center"/>
          </w:tcPr>
          <w:p>
            <w:r/>
            <w:r>
              <w:rPr>
                <w:b w:val="0"/>
              </w:rPr>
              <w:t>Generator artefak laporan berbasis CSV: tiga grafik EDA, grafik aktual versus prediksi, tabel metrik, dan tabel SS/ROP dalam CSV serta PNG.</w:t>
            </w:r>
          </w:p>
        </w:tc>
      </w:tr>
      <w:tr>
        <w:tc>
          <w:tcPr>
            <w:tcW w:type="dxa" w:w="2880"/>
            <w:vAlign w:val="center"/>
            <w:shd w:fill="F2F6F8"/>
          </w:tcPr>
          <w:p>
            <w:r/>
            <w:r>
              <w:rPr>
                <w:b w:val="0"/>
              </w:rPr>
              <w:t>requirements.txt</w:t>
            </w:r>
          </w:p>
        </w:tc>
        <w:tc>
          <w:tcPr>
            <w:tcW w:type="dxa" w:w="6912"/>
            <w:vAlign w:val="center"/>
            <w:shd w:fill="F2F6F8"/>
          </w:tcPr>
          <w:p>
            <w:r/>
            <w:r>
              <w:rPr>
                <w:b w:val="0"/>
              </w:rPr>
              <w:t>Daftar dependensi Python seperti pandas, NumPy, scikit-learn, XGBoost, statsmodels, matplotlib, dan konektor database.</w:t>
            </w:r>
          </w:p>
        </w:tc>
      </w:tr>
      <w:tr>
        <w:tc>
          <w:tcPr>
            <w:tcW w:type="dxa" w:w="2880"/>
            <w:vAlign w:val="center"/>
          </w:tcPr>
          <w:p>
            <w:r/>
            <w:r>
              <w:rPr>
                <w:b w:val="0"/>
              </w:rPr>
              <w:t>output/</w:t>
            </w:r>
          </w:p>
        </w:tc>
        <w:tc>
          <w:tcPr>
            <w:tcW w:type="dxa" w:w="6912"/>
            <w:vAlign w:val="center"/>
          </w:tcPr>
          <w:p>
            <w:r/>
            <w:r>
              <w:rPr>
                <w:b w:val="0"/>
              </w:rPr>
              <w:t>Folder hasil eksperimen berupa prediksi, evaluasi model, rekomendasi, dan hasil tuning dalam format CSV.</w:t>
            </w:r>
          </w:p>
        </w:tc>
      </w:tr>
    </w:tbl>
    <w:p/>
    <w:p>
      <w:pPr>
        <w:pStyle w:val="Heading1"/>
      </w:pPr>
      <w:r>
        <w:t>3. Sumber dan Persiapan Data</w:t>
      </w:r>
    </w:p>
    <w:p>
      <w:r>
        <w:t>Data masukan berisi tanggal transaksi, identitas produk, dan jumlah penjualan (qty). Pada tahap preprocessing, tanggal dibentuk menjadi rentang harian dan dikombinasikan dengan seluruh produk menggunakan grid tanggal-produk. Hari tanpa transaksi tetap dipertahankan dan nilai qty diisi nol. Langkah ini penting agar deret waktu setiap produk kontinu dan fitur lag tidak melewati tanggal yang hilang.</w:t>
      </w:r>
    </w:p>
    <w:p>
      <w:pPr>
        <w:pStyle w:val="ListBullet"/>
      </w:pPr>
      <w:r>
        <w:t>Kolom utama: tanggal, produk_id, dan qty atau total_qty.</w:t>
      </w:r>
    </w:p>
    <w:p>
      <w:pPr>
        <w:pStyle w:val="ListBullet"/>
      </w:pPr>
      <w:r>
        <w:t>Data diurutkan berdasarkan produk dan tanggal.</w:t>
      </w:r>
    </w:p>
    <w:p>
      <w:pPr>
        <w:pStyle w:val="ListBullet"/>
      </w:pPr>
      <w:r>
        <w:t>Baris yang belum memiliki histori cukup untuk lag dan rolling mean dihapus sebelum pelatihan.</w:t>
      </w:r>
    </w:p>
    <w:p>
      <w:pPr>
        <w:pStyle w:val="ListBullet"/>
      </w:pPr>
      <w:r>
        <w:t>Mode produksi membaca data agregasi dari tabel transaksi MySQL; mode eksperimen dapat membaca CSV lokal.</w:t>
      </w:r>
    </w:p>
    <w:p>
      <w:pPr>
        <w:pStyle w:val="Heading1"/>
      </w:pPr>
      <w:r>
        <w:t>4. Feature Engineering</w:t>
      </w:r>
    </w:p>
    <w:p>
      <w:r>
        <w:t>Fitur yang dibentuk menggabungkan karakteristik kalender dengan histori permintaan produk. Fitur tersebut menjadi variabel prediktor pada model global XGBoost. Model global berarti satu model dilatih menggunakan data seluruh produk dengan produk_id sebagai salah satu fitur.</w:t>
      </w:r>
    </w:p>
    <w:tbl>
      <w:tblPr>
        <w:tblStyle w:val="TableGrid"/>
        <w:tblW w:type="auto" w:w="0"/>
        <w:jc w:val="center"/>
        <w:tblLook w:firstColumn="1" w:firstRow="1" w:lastColumn="0" w:lastRow="0" w:noHBand="0" w:noVBand="1" w:val="04A0"/>
      </w:tblPr>
      <w:tblGrid>
        <w:gridCol w:w="3312"/>
        <w:gridCol w:w="3312"/>
        <w:gridCol w:w="3312"/>
      </w:tblGrid>
      <w:tr>
        <w:tc>
          <w:tcPr>
            <w:tcW w:type="dxa" w:w="1440"/>
            <w:vAlign w:val="center"/>
            <w:shd w:fill="176B87"/>
          </w:tcPr>
          <w:p>
            <w:r/>
            <w:r>
              <w:rPr>
                <w:b/>
                <w:color w:val="FFFFFF"/>
              </w:rPr>
              <w:t>Kelompok</w:t>
            </w:r>
          </w:p>
        </w:tc>
        <w:tc>
          <w:tcPr>
            <w:tcW w:type="dxa" w:w="3600"/>
            <w:vAlign w:val="center"/>
            <w:shd w:fill="176B87"/>
          </w:tcPr>
          <w:p>
            <w:r/>
            <w:r>
              <w:rPr>
                <w:b/>
                <w:color w:val="FFFFFF"/>
              </w:rPr>
              <w:t>Fitur</w:t>
            </w:r>
          </w:p>
        </w:tc>
        <w:tc>
          <w:tcPr>
            <w:tcW w:type="dxa" w:w="4752"/>
            <w:vAlign w:val="center"/>
            <w:shd w:fill="176B87"/>
          </w:tcPr>
          <w:p>
            <w:r/>
            <w:r>
              <w:rPr>
                <w:b/>
                <w:color w:val="FFFFFF"/>
              </w:rPr>
              <w:t>Keterangan</w:t>
            </w:r>
          </w:p>
        </w:tc>
      </w:tr>
      <w:tr>
        <w:tc>
          <w:tcPr>
            <w:tcW w:type="dxa" w:w="1440"/>
            <w:vAlign w:val="center"/>
            <w:shd w:fill="F2F6F8"/>
          </w:tcPr>
          <w:p>
            <w:r/>
            <w:r>
              <w:rPr>
                <w:b w:val="0"/>
              </w:rPr>
              <w:t>Identitas</w:t>
            </w:r>
          </w:p>
        </w:tc>
        <w:tc>
          <w:tcPr>
            <w:tcW w:type="dxa" w:w="3600"/>
            <w:vAlign w:val="center"/>
            <w:shd w:fill="F2F6F8"/>
          </w:tcPr>
          <w:p>
            <w:r/>
            <w:r>
              <w:rPr>
                <w:b w:val="0"/>
              </w:rPr>
              <w:t>produk_id</w:t>
            </w:r>
          </w:p>
        </w:tc>
        <w:tc>
          <w:tcPr>
            <w:tcW w:type="dxa" w:w="4752"/>
            <w:vAlign w:val="center"/>
            <w:shd w:fill="F2F6F8"/>
          </w:tcPr>
          <w:p>
            <w:r/>
            <w:r>
              <w:rPr>
                <w:b w:val="0"/>
              </w:rPr>
              <w:t>Membedakan pola permintaan antarproduk.</w:t>
            </w:r>
          </w:p>
        </w:tc>
      </w:tr>
      <w:tr>
        <w:tc>
          <w:tcPr>
            <w:tcW w:type="dxa" w:w="1440"/>
            <w:vAlign w:val="center"/>
          </w:tcPr>
          <w:p>
            <w:r/>
            <w:r>
              <w:rPr>
                <w:b w:val="0"/>
              </w:rPr>
              <w:t>Kalender</w:t>
            </w:r>
          </w:p>
        </w:tc>
        <w:tc>
          <w:tcPr>
            <w:tcW w:type="dxa" w:w="3600"/>
            <w:vAlign w:val="center"/>
          </w:tcPr>
          <w:p>
            <w:r/>
            <w:r>
              <w:rPr>
                <w:b w:val="0"/>
              </w:rPr>
              <w:t>day_of_week, is_weekend, day_of_month, is_awal_bulan, month</w:t>
            </w:r>
          </w:p>
        </w:tc>
        <w:tc>
          <w:tcPr>
            <w:tcW w:type="dxa" w:w="4752"/>
            <w:vAlign w:val="center"/>
          </w:tcPr>
          <w:p>
            <w:r/>
            <w:r>
              <w:rPr>
                <w:b w:val="0"/>
              </w:rPr>
              <w:t>Menangkap pola mingguan, akhir pekan, awal bulan, dan musiman bulanan.</w:t>
            </w:r>
          </w:p>
        </w:tc>
      </w:tr>
      <w:tr>
        <w:tc>
          <w:tcPr>
            <w:tcW w:type="dxa" w:w="1440"/>
            <w:vAlign w:val="center"/>
            <w:shd w:fill="F2F6F8"/>
          </w:tcPr>
          <w:p>
            <w:r/>
            <w:r>
              <w:rPr>
                <w:b w:val="0"/>
              </w:rPr>
              <w:t>Lag</w:t>
            </w:r>
          </w:p>
        </w:tc>
        <w:tc>
          <w:tcPr>
            <w:tcW w:type="dxa" w:w="3600"/>
            <w:vAlign w:val="center"/>
            <w:shd w:fill="F2F6F8"/>
          </w:tcPr>
          <w:p>
            <w:r/>
            <w:r>
              <w:rPr>
                <w:b w:val="0"/>
              </w:rPr>
              <w:t>lag_1, lag_7, lag_14</w:t>
            </w:r>
          </w:p>
        </w:tc>
        <w:tc>
          <w:tcPr>
            <w:tcW w:type="dxa" w:w="4752"/>
            <w:vAlign w:val="center"/>
            <w:shd w:fill="F2F6F8"/>
          </w:tcPr>
          <w:p>
            <w:r/>
            <w:r>
              <w:rPr>
                <w:b w:val="0"/>
              </w:rPr>
              <w:t>Permintaan satu, tujuh, dan empat belas hari sebelumnya.</w:t>
            </w:r>
          </w:p>
        </w:tc>
      </w:tr>
      <w:tr>
        <w:tc>
          <w:tcPr>
            <w:tcW w:type="dxa" w:w="1440"/>
            <w:vAlign w:val="center"/>
          </w:tcPr>
          <w:p>
            <w:r/>
            <w:r>
              <w:rPr>
                <w:b w:val="0"/>
              </w:rPr>
              <w:t>Rolling</w:t>
            </w:r>
          </w:p>
        </w:tc>
        <w:tc>
          <w:tcPr>
            <w:tcW w:type="dxa" w:w="3600"/>
            <w:vAlign w:val="center"/>
          </w:tcPr>
          <w:p>
            <w:r/>
            <w:r>
              <w:rPr>
                <w:b w:val="0"/>
              </w:rPr>
              <w:t>rolling_mean_7, rolling_mean_28</w:t>
            </w:r>
          </w:p>
        </w:tc>
        <w:tc>
          <w:tcPr>
            <w:tcW w:type="dxa" w:w="4752"/>
            <w:vAlign w:val="center"/>
          </w:tcPr>
          <w:p>
            <w:r/>
            <w:r>
              <w:rPr>
                <w:b w:val="0"/>
              </w:rPr>
              <w:t>Rata-rata bergerak tujuh dan dua puluh delapan hari berdasarkan histori sebelumnya.</w:t>
            </w:r>
          </w:p>
        </w:tc>
      </w:tr>
    </w:tbl>
    <w:p/>
    <w:p>
      <w:pPr>
        <w:pStyle w:val="Heading1"/>
      </w:pPr>
      <w:r>
        <w:t>5. Pembagian Data dan Model</w:t>
      </w:r>
    </w:p>
    <w:p>
      <w:r>
        <w:t>Eksperimen menggunakan pembagian data berbasis waktu agar tidak terjadi kebocoran informasi dari masa depan. Data training digunakan untuk membangun model, sedangkan data test disimpan untuk evaluasi akhir.</w:t>
      </w:r>
    </w:p>
    <w:tbl>
      <w:tblPr>
        <w:tblStyle w:val="TableGrid"/>
        <w:tblW w:type="auto" w:w="0"/>
        <w:jc w:val="center"/>
        <w:tblLook w:firstColumn="1" w:firstRow="1" w:lastColumn="0" w:lastRow="0" w:noHBand="0" w:noVBand="1" w:val="04A0"/>
      </w:tblPr>
      <w:tblGrid>
        <w:gridCol w:w="3312"/>
        <w:gridCol w:w="3312"/>
        <w:gridCol w:w="3312"/>
      </w:tblGrid>
      <w:tr>
        <w:tc>
          <w:tcPr>
            <w:tcW w:type="dxa" w:w="1728"/>
            <w:vAlign w:val="center"/>
            <w:shd w:fill="176B87"/>
          </w:tcPr>
          <w:p>
            <w:r/>
            <w:r>
              <w:rPr>
                <w:b/>
                <w:color w:val="FFFFFF"/>
              </w:rPr>
              <w:t>Bagian</w:t>
            </w:r>
          </w:p>
        </w:tc>
        <w:tc>
          <w:tcPr>
            <w:tcW w:type="dxa" w:w="2880"/>
            <w:vAlign w:val="center"/>
            <w:shd w:fill="176B87"/>
          </w:tcPr>
          <w:p>
            <w:r/>
            <w:r>
              <w:rPr>
                <w:b/>
                <w:color w:val="FFFFFF"/>
              </w:rPr>
              <w:t>Periode</w:t>
            </w:r>
          </w:p>
        </w:tc>
        <w:tc>
          <w:tcPr>
            <w:tcW w:type="dxa" w:w="5184"/>
            <w:vAlign w:val="center"/>
            <w:shd w:fill="176B87"/>
          </w:tcPr>
          <w:p>
            <w:r/>
            <w:r>
              <w:rPr>
                <w:b/>
                <w:color w:val="FFFFFF"/>
              </w:rPr>
              <w:t>Peran</w:t>
            </w:r>
          </w:p>
        </w:tc>
      </w:tr>
      <w:tr>
        <w:tc>
          <w:tcPr>
            <w:tcW w:type="dxa" w:w="1728"/>
            <w:vAlign w:val="center"/>
            <w:shd w:fill="F2F6F8"/>
          </w:tcPr>
          <w:p>
            <w:r/>
            <w:r>
              <w:rPr>
                <w:b w:val="0"/>
              </w:rPr>
              <w:t>Train</w:t>
            </w:r>
          </w:p>
        </w:tc>
        <w:tc>
          <w:tcPr>
            <w:tcW w:type="dxa" w:w="2880"/>
            <w:vAlign w:val="center"/>
            <w:shd w:fill="F2F6F8"/>
          </w:tcPr>
          <w:p>
            <w:r/>
            <w:r>
              <w:rPr>
                <w:b w:val="0"/>
              </w:rPr>
              <w:t>September 2025 - Juni 2026</w:t>
            </w:r>
          </w:p>
        </w:tc>
        <w:tc>
          <w:tcPr>
            <w:tcW w:type="dxa" w:w="5184"/>
            <w:vAlign w:val="center"/>
            <w:shd w:fill="F2F6F8"/>
          </w:tcPr>
          <w:p>
            <w:r/>
            <w:r>
              <w:rPr>
                <w:b w:val="0"/>
              </w:rPr>
              <w:t>Melatih model pada histori yang tersedia sebelum periode pengujian.</w:t>
            </w:r>
          </w:p>
        </w:tc>
      </w:tr>
      <w:tr>
        <w:tc>
          <w:tcPr>
            <w:tcW w:type="dxa" w:w="1728"/>
            <w:vAlign w:val="center"/>
          </w:tcPr>
          <w:p>
            <w:r/>
            <w:r>
              <w:rPr>
                <w:b w:val="0"/>
              </w:rPr>
              <w:t>Test</w:t>
            </w:r>
          </w:p>
        </w:tc>
        <w:tc>
          <w:tcPr>
            <w:tcW w:type="dxa" w:w="2880"/>
            <w:vAlign w:val="center"/>
          </w:tcPr>
          <w:p>
            <w:r/>
            <w:r>
              <w:rPr>
                <w:b w:val="0"/>
              </w:rPr>
              <w:t>Juli 2026 - Agustus 2026</w:t>
            </w:r>
          </w:p>
        </w:tc>
        <w:tc>
          <w:tcPr>
            <w:tcW w:type="dxa" w:w="5184"/>
            <w:vAlign w:val="center"/>
          </w:tcPr>
          <w:p>
            <w:r/>
            <w:r>
              <w:rPr>
                <w:b w:val="0"/>
              </w:rPr>
              <w:t>Mengukur kinerja prediksi pada periode yang tidak digunakan untuk pelatihan.</w:t>
            </w:r>
          </w:p>
        </w:tc>
      </w:tr>
    </w:tbl>
    <w:p/>
    <w:p>
      <w:r>
        <w:t>Model utama adalah XGBoost Regressor dengan 300 estimator, kedalaman maksimum 4, learning rate 0,03, subsample 0,8, colsample_bytree 0,8, dan random_state 42. Sebagai pembanding digunakan model Holt-Winters dengan komponen musiman aditif dan periode musiman tujuh hari. Model dengan nilai MAE lebih kecil dipilih sebagai model terbaik untuk setiap produk pada tabel evaluasi.</w:t>
      </w:r>
    </w:p>
    <w:p>
      <w:pPr>
        <w:pStyle w:val="Heading1"/>
      </w:pPr>
      <w:r>
        <w:t>6. Metrik Evaluasi</w:t>
      </w:r>
    </w:p>
    <w:p>
      <w:r>
        <w:t>Kinerja model diukur menggunakan Mean Absolute Percentage Error (MAPE), Root Mean Squared Error (RMSE), dan Mean Absolute Error (MAE). MAPE dihitung hanya pada hari ketika aktual lebih besar dari nol, sehingga hari tanpa penjualan tidak menyebabkan pembagian dengan nol.</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176B87"/>
          </w:tcPr>
          <w:p>
            <w:r/>
            <w:r>
              <w:rPr>
                <w:b/>
                <w:color w:val="FFFFFF"/>
              </w:rPr>
              <w:t>Metrik</w:t>
            </w:r>
          </w:p>
        </w:tc>
        <w:tc>
          <w:tcPr>
            <w:tcW w:type="dxa" w:w="7632"/>
            <w:vAlign w:val="center"/>
            <w:shd w:fill="176B87"/>
          </w:tcPr>
          <w:p>
            <w:r/>
            <w:r>
              <w:rPr>
                <w:b/>
                <w:color w:val="FFFFFF"/>
              </w:rPr>
              <w:t>Interpretasi</w:t>
            </w:r>
          </w:p>
        </w:tc>
      </w:tr>
      <w:tr>
        <w:tc>
          <w:tcPr>
            <w:tcW w:type="dxa" w:w="2160"/>
            <w:vAlign w:val="center"/>
            <w:shd w:fill="F2F6F8"/>
          </w:tcPr>
          <w:p>
            <w:r/>
            <w:r>
              <w:rPr>
                <w:b w:val="0"/>
              </w:rPr>
              <w:t>MAPE (%)</w:t>
            </w:r>
          </w:p>
        </w:tc>
        <w:tc>
          <w:tcPr>
            <w:tcW w:type="dxa" w:w="7632"/>
            <w:vAlign w:val="center"/>
            <w:shd w:fill="F2F6F8"/>
          </w:tcPr>
          <w:p>
            <w:r/>
            <w:r>
              <w:rPr>
                <w:b w:val="0"/>
              </w:rPr>
              <w:t>Rata-rata persentase kesalahan absolut; semakin kecil semakin baik.</w:t>
            </w:r>
          </w:p>
        </w:tc>
      </w:tr>
      <w:tr>
        <w:tc>
          <w:tcPr>
            <w:tcW w:type="dxa" w:w="2160"/>
            <w:vAlign w:val="center"/>
          </w:tcPr>
          <w:p>
            <w:r/>
            <w:r>
              <w:rPr>
                <w:b w:val="0"/>
              </w:rPr>
              <w:t>RMSE</w:t>
            </w:r>
          </w:p>
        </w:tc>
        <w:tc>
          <w:tcPr>
            <w:tcW w:type="dxa" w:w="7632"/>
            <w:vAlign w:val="center"/>
          </w:tcPr>
          <w:p>
            <w:r/>
            <w:r>
              <w:rPr>
                <w:b w:val="0"/>
              </w:rPr>
              <w:t>Akar rata-rata kuadrat kesalahan; lebih sensitif terhadap kesalahan besar.</w:t>
            </w:r>
          </w:p>
        </w:tc>
      </w:tr>
      <w:tr>
        <w:tc>
          <w:tcPr>
            <w:tcW w:type="dxa" w:w="2160"/>
            <w:vAlign w:val="center"/>
            <w:shd w:fill="F2F6F8"/>
          </w:tcPr>
          <w:p>
            <w:r/>
            <w:r>
              <w:rPr>
                <w:b w:val="0"/>
              </w:rPr>
              <w:t>MAE</w:t>
            </w:r>
          </w:p>
        </w:tc>
        <w:tc>
          <w:tcPr>
            <w:tcW w:type="dxa" w:w="7632"/>
            <w:vAlign w:val="center"/>
            <w:shd w:fill="F2F6F8"/>
          </w:tcPr>
          <w:p>
            <w:r/>
            <w:r>
              <w:rPr>
                <w:b w:val="0"/>
              </w:rPr>
              <w:t>Rata-rata nilai absolut kesalahan; digunakan untuk menentukan model terpilih per produk.</w:t>
            </w:r>
          </w:p>
        </w:tc>
      </w:tr>
    </w:tbl>
    <w:p/>
    <w:p>
      <w:pPr>
        <w:pStyle w:val="Heading1"/>
      </w:pPr>
      <w:r>
        <w:t>7. Prediksi dan Perencanaan Persediaan</w:t>
      </w:r>
    </w:p>
    <w:p>
      <w:r>
        <w:t>Pada mode produksi, model menghasilkan prediksi permintaan untuk 14 hari setelah tanggal terakhir pada data. Prediksi hari sebelumnya digunakan kembali sebagai bagian dari lag untuk membentuk prediksi hari berikutnya. Produk dengan histori kurang dari 60 hari menggunakan fallback moving average tujuh hari.</w:t>
      </w:r>
    </w:p>
    <w:p>
      <w:r>
        <w:t>Untuk mendukung keputusan pemesanan, sistem menghitung safety stock (SS) dan reorder point (ROP). Safety stock menggunakan tingkat layanan 95% dengan faktor 1,65, standar deviasi permintaan harian, dan lead time produk. ROP dihitung dari kebutuhan rata-rata selama lead time ditambah safety stock. Rekomendasi pemesanan dibuat ketika stok saat ini kurang dari atau sama dengan ROP.</w:t>
      </w:r>
    </w:p>
    <w:p>
      <w:pPr>
        <w:pStyle w:val="NoSpacing"/>
      </w:pPr>
      <w:r>
        <w:rPr>
          <w:rFonts w:ascii="Consolas" w:hAnsi="Consolas"/>
          <w:sz w:val="18"/>
        </w:rPr>
        <w:t>SS = ceil(1,65 x std_harian x sqrt(lead_time_hari))</w:t>
      </w:r>
    </w:p>
    <w:p>
      <w:pPr>
        <w:pStyle w:val="NoSpacing"/>
      </w:pPr>
      <w:r>
        <w:rPr>
          <w:rFonts w:ascii="Consolas" w:hAnsi="Consolas"/>
          <w:sz w:val="18"/>
        </w:rPr>
        <w:t>ROP = ceil(rata_rata_harian x lead_time_hari + SS)</w:t>
      </w:r>
    </w:p>
    <w:p>
      <w:pPr>
        <w:pStyle w:val="Heading1"/>
      </w:pPr>
      <w:r>
        <w:t>8. Output yang Dihasilkan</w:t>
      </w:r>
    </w:p>
    <w:tbl>
      <w:tblPr>
        <w:tblStyle w:val="TableGrid"/>
        <w:tblW w:type="auto" w:w="0"/>
        <w:jc w:val="center"/>
        <w:tblLook w:firstColumn="1" w:firstRow="1" w:lastColumn="0" w:lastRow="0" w:noHBand="0" w:noVBand="1" w:val="04A0"/>
      </w:tblPr>
      <w:tblGrid>
        <w:gridCol w:w="4968"/>
        <w:gridCol w:w="4968"/>
      </w:tblGrid>
      <w:tr>
        <w:tc>
          <w:tcPr>
            <w:tcW w:type="dxa" w:w="4032"/>
            <w:vAlign w:val="center"/>
            <w:shd w:fill="176B87"/>
          </w:tcPr>
          <w:p>
            <w:r/>
            <w:r>
              <w:rPr>
                <w:b/>
                <w:color w:val="FFFFFF"/>
              </w:rPr>
              <w:t>Lokasi/Output</w:t>
            </w:r>
          </w:p>
        </w:tc>
        <w:tc>
          <w:tcPr>
            <w:tcW w:type="dxa" w:w="5760"/>
            <w:vAlign w:val="center"/>
            <w:shd w:fill="176B87"/>
          </w:tcPr>
          <w:p>
            <w:r/>
            <w:r>
              <w:rPr>
                <w:b/>
                <w:color w:val="FFFFFF"/>
              </w:rPr>
              <w:t>Isi dan kegunaan</w:t>
            </w:r>
          </w:p>
        </w:tc>
      </w:tr>
      <w:tr>
        <w:tc>
          <w:tcPr>
            <w:tcW w:type="dxa" w:w="4032"/>
            <w:vAlign w:val="center"/>
            <w:shd w:fill="F2F6F8"/>
          </w:tcPr>
          <w:p>
            <w:r/>
            <w:r>
              <w:rPr>
                <w:b w:val="0"/>
              </w:rPr>
              <w:t>ml/output/hasil_prediksi_job_&lt;id&gt;.csv</w:t>
            </w:r>
          </w:p>
        </w:tc>
        <w:tc>
          <w:tcPr>
            <w:tcW w:type="dxa" w:w="5760"/>
            <w:vAlign w:val="center"/>
            <w:shd w:fill="F2F6F8"/>
          </w:tcPr>
          <w:p>
            <w:r/>
            <w:r>
              <w:rPr>
                <w:b w:val="0"/>
              </w:rPr>
              <w:t>Prediksi qty per produk untuk 14 hari dan model yang digunakan.</w:t>
            </w:r>
          </w:p>
        </w:tc>
      </w:tr>
      <w:tr>
        <w:tc>
          <w:tcPr>
            <w:tcW w:type="dxa" w:w="4032"/>
            <w:vAlign w:val="center"/>
          </w:tcPr>
          <w:p>
            <w:r/>
            <w:r>
              <w:rPr>
                <w:b w:val="0"/>
              </w:rPr>
              <w:t>ml/output/evaluasi_model_job_&lt;id&gt;.csv</w:t>
            </w:r>
          </w:p>
        </w:tc>
        <w:tc>
          <w:tcPr>
            <w:tcW w:type="dxa" w:w="5760"/>
            <w:vAlign w:val="center"/>
          </w:tcPr>
          <w:p>
            <w:r/>
            <w:r>
              <w:rPr>
                <w:b w:val="0"/>
              </w:rPr>
              <w:t>Nilai MAPE, RMSE, MAE, dan penanda model terpilih per produk.</w:t>
            </w:r>
          </w:p>
        </w:tc>
      </w:tr>
      <w:tr>
        <w:tc>
          <w:tcPr>
            <w:tcW w:type="dxa" w:w="4032"/>
            <w:vAlign w:val="center"/>
            <w:shd w:fill="F2F6F8"/>
          </w:tcPr>
          <w:p>
            <w:r/>
            <w:r>
              <w:rPr>
                <w:b w:val="0"/>
              </w:rPr>
              <w:t>ml/output/rekomendasi_job_&lt;id&gt;.csv</w:t>
            </w:r>
          </w:p>
        </w:tc>
        <w:tc>
          <w:tcPr>
            <w:tcW w:type="dxa" w:w="5760"/>
            <w:vAlign w:val="center"/>
            <w:shd w:fill="F2F6F8"/>
          </w:tcPr>
          <w:p>
            <w:r/>
            <w:r>
              <w:rPr>
                <w:b w:val="0"/>
              </w:rPr>
              <w:t>Rekomendasi pemesanan berdasarkan stok, SS, ROP, dan total prediksi.</w:t>
            </w:r>
          </w:p>
        </w:tc>
      </w:tr>
      <w:tr>
        <w:tc>
          <w:tcPr>
            <w:tcW w:type="dxa" w:w="4032"/>
            <w:vAlign w:val="center"/>
          </w:tcPr>
          <w:p>
            <w:r/>
            <w:r>
              <w:rPr>
                <w:b w:val="0"/>
              </w:rPr>
              <w:t>docs/ml/eda_*.png</w:t>
            </w:r>
          </w:p>
        </w:tc>
        <w:tc>
          <w:tcPr>
            <w:tcW w:type="dxa" w:w="5760"/>
            <w:vAlign w:val="center"/>
          </w:tcPr>
          <w:p>
            <w:r/>
            <w:r>
              <w:rPr>
                <w:b w:val="0"/>
              </w:rPr>
              <w:t>Tiga visual eksplorasi: total harian, produk terlaris, dan pola hari mingguan.</w:t>
            </w:r>
          </w:p>
        </w:tc>
      </w:tr>
      <w:tr>
        <w:tc>
          <w:tcPr>
            <w:tcW w:type="dxa" w:w="4032"/>
            <w:vAlign w:val="center"/>
            <w:shd w:fill="F2F6F8"/>
          </w:tcPr>
          <w:p>
            <w:r/>
            <w:r>
              <w:rPr>
                <w:b w:val="0"/>
              </w:rPr>
              <w:t>docs/ml/aktual_vs_prediksi_3_produk.png</w:t>
            </w:r>
          </w:p>
        </w:tc>
        <w:tc>
          <w:tcPr>
            <w:tcW w:type="dxa" w:w="5760"/>
            <w:vAlign w:val="center"/>
            <w:shd w:fill="F2F6F8"/>
          </w:tcPr>
          <w:p>
            <w:r/>
            <w:r>
              <w:rPr>
                <w:b w:val="0"/>
              </w:rPr>
              <w:t>Perbandingan aktual dan prediksi XGBoost pada tiga produk dengan penjualan tertinggi di test set.</w:t>
            </w:r>
          </w:p>
        </w:tc>
      </w:tr>
      <w:tr>
        <w:tc>
          <w:tcPr>
            <w:tcW w:type="dxa" w:w="4032"/>
            <w:vAlign w:val="center"/>
          </w:tcPr>
          <w:p>
            <w:r/>
            <w:r>
              <w:rPr>
                <w:b w:val="0"/>
              </w:rPr>
              <w:t>docs/ml/tabel_metrik_mape_rmse_mae.csv/.png</w:t>
            </w:r>
          </w:p>
        </w:tc>
        <w:tc>
          <w:tcPr>
            <w:tcW w:type="dxa" w:w="5760"/>
            <w:vAlign w:val="center"/>
          </w:tcPr>
          <w:p>
            <w:r/>
            <w:r>
              <w:rPr>
                <w:b w:val="0"/>
              </w:rPr>
              <w:t>Tabel numerik dan visual MAPE, RMSE, MAE untuk XGBoost dan Holt-Winters.</w:t>
            </w:r>
          </w:p>
        </w:tc>
      </w:tr>
      <w:tr>
        <w:tc>
          <w:tcPr>
            <w:tcW w:type="dxa" w:w="4032"/>
            <w:vAlign w:val="center"/>
            <w:shd w:fill="F2F6F8"/>
          </w:tcPr>
          <w:p>
            <w:r/>
            <w:r>
              <w:rPr>
                <w:b w:val="0"/>
              </w:rPr>
              <w:t>docs/ml/tabel_contoh_ss_rop.csv/.png</w:t>
            </w:r>
          </w:p>
        </w:tc>
        <w:tc>
          <w:tcPr>
            <w:tcW w:type="dxa" w:w="5760"/>
            <w:vAlign w:val="center"/>
            <w:shd w:fill="F2F6F8"/>
          </w:tcPr>
          <w:p>
            <w:r/>
            <w:r>
              <w:rPr>
                <w:b w:val="0"/>
              </w:rPr>
              <w:t>Contoh perhitungan rata-rata harian, standar deviasi, lead time, SS, dan ROP.</w:t>
            </w:r>
          </w:p>
        </w:tc>
      </w:tr>
    </w:tbl>
    <w:p/>
    <w:p>
      <w:pPr>
        <w:pStyle w:val="Heading1"/>
      </w:pPr>
      <w:r>
        <w:t>9. Cara Menjalankan</w:t>
      </w:r>
    </w:p>
    <w:p>
      <w:r>
        <w:t>Dari root repository, dependensi dapat dipasang dan laporan dapat dibuat dengan perintah berikut:</w:t>
      </w:r>
    </w:p>
    <w:p>
      <w:pPr>
        <w:pStyle w:val="NoSpacing"/>
      </w:pPr>
      <w:r>
        <w:rPr>
          <w:rFonts w:ascii="Consolas" w:hAnsi="Consolas"/>
          <w:sz w:val="18"/>
        </w:rPr>
        <w:t>py -3.12 -m pip install -r ml/requirements.txt</w:t>
      </w:r>
    </w:p>
    <w:p>
      <w:pPr>
        <w:pStyle w:val="NoSpacing"/>
      </w:pPr>
      <w:r>
        <w:rPr>
          <w:rFonts w:ascii="Consolas" w:hAnsi="Consolas"/>
          <w:sz w:val="18"/>
        </w:rPr>
        <w:t>py -3.12 ml/generate_report.py</w:t>
      </w:r>
    </w:p>
    <w:p>
      <w:r>
        <w:t>Untuk menjalankan pipeline produksi menggunakan CSV lokal, gunakan parameter job dan lokasi input sebagai berikut. Mode database tidak menggunakan flag --csv dan membutuhkan environment DB_USER, DB_PASS, DB_HOST, DB_PORT, dan DB_NAME.</w:t>
      </w:r>
    </w:p>
    <w:p>
      <w:pPr>
        <w:pStyle w:val="NoSpacing"/>
      </w:pPr>
      <w:r>
        <w:rPr>
          <w:rFonts w:ascii="Consolas" w:hAnsi="Consolas"/>
          <w:sz w:val="18"/>
        </w:rPr>
        <w:t>py -3.12 ml/predict.py --job 1 --csv --input-csv data/agregasi_harian.csv --output-dir ml/output</w:t>
      </w:r>
    </w:p>
    <w:p>
      <w:pPr>
        <w:pStyle w:val="Heading1"/>
      </w:pPr>
      <w:r>
        <w:t>10. Relevansi untuk Penelitian</w:t>
      </w:r>
    </w:p>
    <w:p>
      <w:r>
        <w:t>Folder ml merepresentasikan implementasi metode peramalan permintaan berbasis machine learning yang terintegrasi dengan pengendalian persediaan. Alur eksperimen dapat dijelaskan secara berurutan: data transaksi diagregasi per hari dan produk, data kosong dilengkapi, fitur deret waktu dibentuk, XGBoost dilatih, hasil dibandingkan dengan Holt-Winters menggunakan data test berbasis waktu, lalu prediksi digunakan untuk menghitung SS dan ROP. Dengan demikian, output tidak hanya mengukur akurasi model, tetapi juga menerjemahkan prediksi menjadi rekomendasi operasional untuk pengadaan persediaan.</w:t>
      </w:r>
    </w:p>
    <w:p>
      <w:r>
        <w:t>Catatan: angka evaluasi pada file CSV/PNG mengikuti data dan periode yang tersedia saat script dijalankan. Jika data transaksi berubah, seluruh artefak laporan perlu dibuat ulang agar hasil dokumentasi tetap konsisten.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