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`/Volumes/Casima/claudeCode/CompanyWiki/company-brain/examples/meddev-fictional` · Profile: `medical-device`</w:t>
      </w:r>
    </w:p>
    <w:p>
      <w:pPr>
        <w:pStyle w:val="Heading2"/>
      </w:pPr>
      <w:r>
        <w:rPr>
          <w:color w:val="1F3A5F"/>
        </w:rPr>
        <w:t>1. Executive summary</w:t>
      </w:r>
    </w:p>
    <w:p>
      <w:r>
        <w:t>The 2 governing principles of this company shape every section that follows. The product set is anchored on 2 products,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[pillar-disposable-pad-business-model] </w:t>
      </w:r>
      <w:r>
        <w:rPr>
          <w:b/>
        </w:rPr>
        <w:t>Disposable Pad as the Recurring-Revenue Engine</w:t>
      </w:r>
      <w:r>
        <w:t xml:space="preserve"> — The Vitalisens Pad is a 7-day replaceable disposable; recurring pad revenue, not the wearable, is the long-term unit economic.</w:t>
      </w:r>
    </w:p>
    <w:p>
      <w:pPr>
        <w:pStyle w:val="ListBullet"/>
      </w:pPr>
      <w:r>
        <w:t xml:space="preserve">[pillar-icp-ambulatory-cardiac-patients] </w:t>
      </w:r>
      <w:r>
        <w:rPr>
          <w:b/>
        </w:rPr>
        <w:t>ICP: Adult Ambulatory Cardiac Patients</w:t>
      </w:r>
      <w:r>
        <w:t xml:space="preserve"> — We serve adult cardiac patients in ambulatory settings during the 7- to 30-day window after a cardiac event or during arrhythmia workup.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[pillar-no-physical-documentation] Non-Goal: No Physical Documentation</w:t>
      </w:r>
    </w:p>
    <w:p>
      <w:pPr>
        <w:pStyle w:val="Heading2"/>
      </w:pPr>
      <w:r>
        <w:rPr>
          <w:color w:val="1F3A5F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3B82C4"/>
        </w:rPr>
        <w:t>Disposable Pad as the Recurring-Revenue Engine [pillar-disposable-pad-business-model]</w:t>
      </w:r>
    </w:p>
    <w:p>
      <w:r>
        <w:t>The Vitalisens Pad is a 7-day replaceable disposable; recurring pad revenue, not the wearable, is the long-term unit economic.</w:t>
      </w:r>
    </w:p>
    <w:p>
      <w:r>
        <w:t>_Applies when:_ pricing, business model, pad, disposable, recurring revenue, unit economics, LTV, reimbursement, channel</w:t>
      </w:r>
    </w:p>
    <w:p>
      <w:pPr>
        <w:pStyle w:val="Heading3"/>
      </w:pPr>
      <w:r>
        <w:rPr>
          <w:color w:val="3B82C4"/>
        </w:rPr>
        <w:t>ICP: Adult Ambulatory Cardiac Patients [pillar-icp-ambulatory-cardiac-patients]</w:t>
      </w:r>
    </w:p>
    <w:p>
      <w:r>
        <w:t>We serve adult cardiac patients in ambulatory settings during the 7- to 30-day window after a cardiac event or during arrhythmia workup.</w:t>
      </w:r>
    </w:p>
    <w:p>
      <w:r>
        <w:t>_Applies when:_ ICP, target market, audience, indication scope, patient population, who we serve, expansion, pediatric, geriatric, in-patient, home-health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[source-domain-expertise-saunders-cardiology-2026] _domain-expertise_ — Domain Expertise: Saunders, 20 Years of Cardiology Workflow</w:t>
      </w:r>
    </w:p>
    <w:p>
      <w:pPr>
        <w:pStyle w:val="ListBullet"/>
      </w:pPr>
      <w:r>
        <w:t>[source-strategic-thesis-disposable-pad-recurring-revenue] _strategic-thesis_ — Strategic Thesis: Disposable Pad as Recurring Revenue Engine</w:t>
      </w:r>
    </w:p>
    <w:p>
      <w:pPr>
        <w:pStyle w:val="ListBullet"/>
      </w:pPr>
      <w:r>
        <w:t>[source-vision-saunders-2026-cardiac-workflow-thesis] _founder-vision_ — Founder Vision: The Cardiac Workflow Bottleneck (Saunders, 2026)</w:t>
      </w:r>
    </w:p>
    <w:p>
      <w:pPr>
        <w:pStyle w:val="Heading2"/>
      </w:pPr>
      <w:r>
        <w:rPr>
          <w:color w:val="1F3A5F"/>
        </w:rPr>
        <w:t>3. Indications for use</w:t>
      </w:r>
    </w:p>
    <w:p>
      <w:r>
        <w:rPr>
          <w:b/>
        </w:rPr>
        <w:t>Our IFU:</w:t>
      </w:r>
    </w:p>
    <w:p>
      <w:pPr>
        <w:pStyle w:val="Heading3"/>
      </w:pPr>
      <w:r>
        <w:rPr>
          <w:color w:val="3B82C4"/>
        </w:rPr>
        <w:t>IFU: Vitalisens Cardio (planned, 2026 Q1) [indication-for-use-vitalisens-cardio-2026-q1]</w:t>
      </w:r>
    </w:p>
    <w:p>
      <w:pPr>
        <w:pStyle w:val="ListBullet"/>
      </w:pPr>
      <w:r>
        <w:rPr>
          <w:b/>
        </w:rPr>
        <w:t>Population:</w:t>
      </w:r>
      <w:r>
        <w:t xml:space="preserve"> Adult patients aged 18 years and older</w:t>
      </w:r>
    </w:p>
    <w:p>
      <w:pPr>
        <w:pStyle w:val="ListBullet"/>
      </w:pPr>
      <w:r>
        <w:rPr>
          <w:b/>
        </w:rPr>
        <w:t>Condition:</w:t>
      </w:r>
      <w:r>
        <w:t xml:space="preserve"> Suspected cardiac arrhythmia or post-cardiac-event surveillance</w:t>
      </w:r>
    </w:p>
    <w:p>
      <w:pPr>
        <w:pStyle w:val="ListBullet"/>
      </w:pPr>
      <w:r>
        <w:rPr>
          <w:b/>
        </w:rPr>
        <w:t>Intervention:</w:t>
      </w:r>
      <w:r>
        <w:t xml:space="preserve"> Continuous ambulatory ECG recording over a 7-day pad cycle, transmitted to a clinician-reviewable application</w:t>
      </w:r>
    </w:p>
    <w:p>
      <w:pPr>
        <w:pStyle w:val="ListBullet"/>
      </w:pPr>
      <w:r>
        <w:rPr>
          <w:b/>
        </w:rPr>
        <w:t>Setting:</w:t>
      </w:r>
      <w:r>
        <w:t xml:space="preserve"> Home and outpatient clinical settings; not for in-patient acute monitoring</w:t>
      </w:r>
    </w:p>
    <w:p>
      <w:r>
        <w:rPr>
          <w:b/>
        </w:rPr>
        <w:t>IFU comparison matrix</w:t>
      </w:r>
      <w:r>
        <w:t xml:space="preserve"> (latest IFU per product):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3A5F"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Population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Condition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Setting</w:t>
            </w:r>
          </w:p>
        </w:tc>
      </w:tr>
      <w:tr>
        <w:tc>
          <w:tcPr>
            <w:tcW w:type="dxa" w:w="1728"/>
          </w:tcPr>
          <w:p>
            <w:r>
              <w:t>Vitalisens Cardio [indication-for-use-vitalisens-cardio-2026-q1]</w:t>
            </w:r>
          </w:p>
        </w:tc>
        <w:tc>
          <w:tcPr>
            <w:tcW w:type="dxa" w:w="1728"/>
          </w:tcPr>
          <w:p>
            <w:r>
              <w:t>Adult patients aged 18 years and older</w:t>
            </w:r>
          </w:p>
        </w:tc>
        <w:tc>
          <w:tcPr>
            <w:tcW w:type="dxa" w:w="1728"/>
          </w:tcPr>
          <w:p>
            <w:r>
              <w:t>Suspected cardiac arrhythmia or post-cardiac-event surveillance</w:t>
            </w:r>
          </w:p>
        </w:tc>
        <w:tc>
          <w:tcPr>
            <w:tcW w:type="dxa" w:w="1728"/>
          </w:tcPr>
          <w:p>
            <w:r>
              <w:t>Continuous ambulatory ECG recording over a 7-day pad cycle, transmitted to a clinician-reviewable application</w:t>
            </w:r>
          </w:p>
        </w:tc>
        <w:tc>
          <w:tcPr>
            <w:tcW w:type="dxa" w:w="1728"/>
          </w:tcPr>
          <w:p>
            <w:r>
              <w:t>Home and outpatient clinical settings; not for in-patient acute monitoring</w:t>
            </w:r>
          </w:p>
        </w:tc>
      </w:tr>
    </w:tbl>
    <w:p>
      <w:pPr>
        <w:pStyle w:val="Heading2"/>
      </w:pPr>
      <w:r>
        <w:rPr>
          <w:color w:val="1F3A5F"/>
        </w:rPr>
        <w:t>4.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[persona-ambulatory-cardiac-patient] </w:t>
      </w:r>
      <w:r>
        <w:rPr>
          <w:b/>
        </w:rPr>
        <w:t>Persona: Ambulatory Cardiac Patient</w:t>
      </w:r>
      <w:r>
        <w:t xml:space="preserve"> — Adult patient discharged from cardiology service with continuous-monitoring orders for 7-30 days; mobile, lives at home, manages own pad changes.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[customer-northstar-cardiology-2025] Northstar Cardiology Group (trial customer) — Fictional multi-site cardiology group; first trial customer; running a 14-patient pilot during Q1-Q2 2026.</w:t>
      </w:r>
    </w:p>
    <w:p>
      <w:pPr>
        <w:pStyle w:val="Heading2"/>
      </w:pPr>
      <w:r>
        <w:rPr>
          <w:color w:val="1F3A5F"/>
        </w:rPr>
        <w:t>5. Market requirements</w:t>
      </w:r>
    </w:p>
    <w:p>
      <w:pPr>
        <w:pStyle w:val="ListBullet"/>
      </w:pPr>
      <w:r>
        <w:t xml:space="preserve">[requirement-mkt-001-continuous-ecg-during-ambulatory] </w:t>
      </w:r>
      <w:r>
        <w:rPr>
          <w:b/>
        </w:rPr>
        <w:t>Market Requirement: Continuous ECG During Ambulatory Use</w:t>
      </w:r>
      <w:r>
        <w:t xml:space="preserve"> — Cardiologists need continuous (not intermittent) ECG capture during the ambulatory window; intermittent recording misses paroxysmal events.</w:t>
      </w:r>
    </w:p>
    <w:p>
      <w:pPr>
        <w:pStyle w:val="Heading2"/>
      </w:pPr>
      <w:r>
        <w:rPr>
          <w:color w:val="1F3A5F"/>
        </w:rPr>
        <w:t>6. Competitive landscape</w:t>
      </w:r>
    </w:p>
    <w:p>
      <w:pPr>
        <w:pStyle w:val="Heading3"/>
      </w:pPr>
      <w:r>
        <w:rPr>
          <w:color w:val="3B82C4"/>
        </w:rPr>
        <w:t>CardioTrace Inc [competitor-cardiotrace-inc]</w:t>
      </w:r>
    </w:p>
    <w:p>
      <w:r>
        <w:t>Direct fictional competitor in adult ambulatory cardiac telemetry; two 510(k) clearances with expanding IFU history; competes head-on with Vitalisens.</w:t>
      </w:r>
    </w:p>
    <w:p>
      <w:pPr>
        <w:pStyle w:val="ListBullet"/>
      </w:pPr>
      <w:r>
        <w:rPr>
          <w:b/>
        </w:rPr>
        <w:t>Canonical URL:</w:t>
      </w:r>
      <w:r>
        <w:t xml:space="preserve"> https://cardiotrace-inc.example.com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[indication-for-use-cardiotrace-pro-2023-q1], [indication-for-use-cardiotrace-pro-2025-q3]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[regulatory-clearance-K181234-cardiotrace-pro-v1], [regulatory-clearance-K231234-cardiotrace-pro-v2]</w:t>
      </w:r>
    </w:p>
    <w:p>
      <w:pPr>
        <w:pStyle w:val="Heading3"/>
      </w:pPr>
      <w:r>
        <w:rPr>
          <w:color w:val="3B82C4"/>
        </w:rPr>
        <w:t>PulseGuard Medical [competitor-pulseguard-medical]</w:t>
      </w:r>
    </w:p>
    <w:p>
      <w:r>
        <w:t>Adjacent fictional competitor; alternative architecture (in-clinic placement, in-home pad change); one 510(k) clearance frequently used as predicate.</w:t>
      </w:r>
    </w:p>
    <w:p>
      <w:pPr>
        <w:pStyle w:val="ListBullet"/>
      </w:pPr>
      <w:r>
        <w:rPr>
          <w:b/>
        </w:rPr>
        <w:t>Canonical URL:</w:t>
      </w:r>
      <w:r>
        <w:t xml:space="preserve"> https://pulseguard-medical.example.com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[indication-for-use-pulseguard-rhythm-2022-q4]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[regulatory-clearance-K221567-pulseguard-rhythm]</w:t>
      </w:r>
    </w:p>
    <w:p>
      <w:pPr>
        <w:pStyle w:val="Heading2"/>
      </w:pPr>
      <w:r>
        <w:rPr>
          <w:color w:val="1F3A5F"/>
        </w:rPr>
        <w:t>7. Regulatory landscape</w:t>
      </w:r>
    </w:p>
    <w:p>
      <w:r>
        <w:rPr>
          <w:b/>
        </w:rPr>
        <w:t>Clearances tracked: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3A5F"/>
              </w:rPr>
              <w:t>Clearance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Applicant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Device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Date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Predicates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[regulatory-clearance-K181234-cardiotrace-pro-v1] </w:t>
            </w:r>
            <w:r>
              <w:rPr>
                <w:rFonts w:ascii="Courier New" w:hAnsi="Courier New"/>
              </w:rPr>
              <w:t>K181234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</w:t>
            </w:r>
          </w:p>
        </w:tc>
        <w:tc>
          <w:tcPr>
            <w:tcW w:type="dxa" w:w="1440"/>
          </w:tcPr>
          <w:p>
            <w:r>
              <w:t>2023-02-14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[regulatory-clearance-K221567-pulseguard-rhythm] </w:t>
            </w:r>
            <w:r>
              <w:rPr>
                <w:rFonts w:ascii="Courier New" w:hAnsi="Courier New"/>
              </w:rPr>
              <w:t>K221567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PulseGuard Medical Devices LLC</w:t>
            </w:r>
          </w:p>
        </w:tc>
        <w:tc>
          <w:tcPr>
            <w:tcW w:type="dxa" w:w="1440"/>
          </w:tcPr>
          <w:p>
            <w:r>
              <w:t>PulseGuard Rhythm</w:t>
            </w:r>
          </w:p>
        </w:tc>
        <w:tc>
          <w:tcPr>
            <w:tcW w:type="dxa" w:w="1440"/>
          </w:tcPr>
          <w:p>
            <w:r>
              <w:t>2022-11-08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[regulatory-clearance-K231234-cardiotrace-pro-v2] </w:t>
            </w:r>
            <w:r>
              <w:rPr>
                <w:rFonts w:ascii="Courier New" w:hAnsi="Courier New"/>
              </w:rPr>
              <w:t>K231234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 (expanded indication)</w:t>
            </w:r>
          </w:p>
        </w:tc>
        <w:tc>
          <w:tcPr>
            <w:tcW w:type="dxa" w:w="1440"/>
          </w:tcPr>
          <w:p>
            <w:r>
              <w:t>2025-08-30</w:t>
            </w:r>
          </w:p>
        </w:tc>
        <w:tc>
          <w:tcPr>
            <w:tcW w:type="dxa" w:w="1440"/>
          </w:tcPr>
          <w:p>
            <w:r>
              <w:t>[regulatory-clearance-K181234-cardiotrace-pro-v1], [regulatory-clearance-K221567-pulseguard-rhythm]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[regulatory-clearance-K243189-vitalisens-cardio] </w:t>
            </w:r>
            <w:r>
              <w:rPr>
                <w:rFonts w:ascii="Courier New" w:hAnsi="Courier New"/>
              </w:rPr>
              <w:t>K243189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Vitalisens (fictional)</w:t>
            </w:r>
          </w:p>
        </w:tc>
        <w:tc>
          <w:tcPr>
            <w:tcW w:type="dxa" w:w="1440"/>
          </w:tcPr>
          <w:p>
            <w:r>
              <w:t>Vitalisens Cardio</w:t>
            </w:r>
          </w:p>
        </w:tc>
        <w:tc>
          <w:tcPr>
            <w:tcW w:type="dxa" w:w="1440"/>
          </w:tcPr>
          <w:p>
            <w:r>
              <w:t>2026-12-31</w:t>
            </w:r>
          </w:p>
        </w:tc>
        <w:tc>
          <w:tcPr>
            <w:tcW w:type="dxa" w:w="1440"/>
          </w:tcPr>
          <w:p>
            <w:r>
              <w:t>[regulatory-clearance-K221567-pulseguard-rhythm], [regulatory-clearance-K231234-cardiotrace-pro-v2]</w:t>
            </w:r>
          </w:p>
        </w:tc>
      </w:tr>
    </w:tbl>
    <w:p>
      <w:r>
        <w:rPr>
          <w:b/>
        </w:rPr>
        <w:t>Regulations referenced:</w:t>
      </w:r>
    </w:p>
    <w:p>
      <w:pPr>
        <w:pStyle w:val="ListBullet"/>
      </w:pPr>
      <w:r>
        <w:t>[regulation-21-cfr-820-design-controls] Regulation: 21 CFR 820 (Quality System Regulation / Design Controls) — US FDA quality system regulation, including design controls subpart C. Vitalisens' controlled-document boundary is informed by this regulation.</w:t>
      </w:r>
    </w:p>
    <w:p>
      <w:r>
        <w:rPr>
          <w:b/>
        </w:rPr>
        <w:t>Standards referenced:</w:t>
      </w:r>
    </w:p>
    <w:p>
      <w:pPr>
        <w:pStyle w:val="ListBullet"/>
      </w:pPr>
      <w:r>
        <w:t>[standard-iso-14971-risk-management] Standard: ISO 14971 (Risk Management) — International standard for risk management of medical devices. Vitalisens uses its vocabulary for planning-level risk thinking; the controlled risk management file would also conform.</w:t>
      </w:r>
    </w:p>
    <w:p>
      <w:pPr>
        <w:pStyle w:val="Heading2"/>
      </w:pPr>
      <w:r>
        <w:rPr>
          <w:color w:val="1F3A5F"/>
        </w:rPr>
        <w:t>8.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7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14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[decision-001-online-only-documentation] Decision 001: Online-Only Documentation</w:t>
      </w:r>
    </w:p>
    <w:p>
      <w:pPr>
        <w:pStyle w:val="ListBullet"/>
      </w:pPr>
      <w:r>
        <w:t>[decision-003-7-day-wear-not-14-day] Decision 003: 7-Day Pad Wear Time</w:t>
      </w:r>
    </w:p>
    <w:p>
      <w:pPr>
        <w:pStyle w:val="ListBullet"/>
      </w:pPr>
      <w:r>
        <w:t>[fact-current-team-size-2026-q2] Fact: Team Size — 2026 Q2</w:t>
      </w:r>
    </w:p>
    <w:p>
      <w:pPr>
        <w:pStyle w:val="ListBullet"/>
      </w:pPr>
      <w:r>
        <w:t>[fact-pad-attach-rate-2026-q2] Fact: Pad Attach Rate at Day 1 — 2026 Q2 Cohort (interim)</w:t>
      </w:r>
    </w:p>
    <w:p>
      <w:pPr>
        <w:pStyle w:val="ListBullet"/>
      </w:pPr>
      <w:r>
        <w:t>[fact-stripe-fee-2-9-percent-plus-30c] Fact: Stripe US Card Processing Fee</w:t>
      </w:r>
    </w:p>
    <w:p>
      <w:pPr>
        <w:pStyle w:val="ListBullet"/>
      </w:pPr>
      <w:r>
        <w:t>[hypothesis-7-day-wear-improves-compliance] Hypothesis: 7-Day Wear Improves Patient Compliance vs. 14-Day</w:t>
      </w:r>
    </w:p>
    <w:p>
      <w:pPr>
        <w:pStyle w:val="ListBullet"/>
      </w:pPr>
      <w:r>
        <w:t>[hypothesis-rx-only-preserves-reimbursement] Hypothesis: Rx-Only Preserves Reimbursement Coding</w:t>
      </w:r>
    </w:p>
    <w:p>
      <w:pPr>
        <w:pStyle w:val="ListBullet"/>
      </w:pPr>
      <w:r>
        <w:t>[indication-for-use-pulseguard-rhythm-2022-q4] IFU: PulseGuard Rhythm (2022 Q4)</w:t>
      </w:r>
    </w:p>
    <w:p>
      <w:pPr>
        <w:pStyle w:val="ListBullet"/>
      </w:pPr>
      <w:r>
        <w:t>[indication-for-use-vitalisens-cardio-2026-q1] IFU: Vitalisens Cardio (planned, 2026 Q1)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[regulatory-clearance-K181234-cardiotrace-pro-v1] 510(k) K181234 — CardioTrace Pro (original)</w:t>
      </w:r>
    </w:p>
    <w:p>
      <w:pPr>
        <w:pStyle w:val="ListBullet"/>
      </w:pPr>
      <w:r>
        <w:t>[regulatory-clearance-K221567-pulseguard-rhythm] 510(k) K221567 — PulseGuard Rhythm</w:t>
      </w:r>
    </w:p>
    <w:p>
      <w:pPr>
        <w:pStyle w:val="ListBullet"/>
      </w:pPr>
      <w:r>
        <w:t>[regulatory-clearance-K243189-vitalisens-cardio] 510(k) K243189 — Vitalisens Cardio (planned)</w:t>
      </w:r>
    </w:p>
    <w:p>
      <w:pPr>
        <w:pStyle w:val="ListBullet"/>
      </w:pPr>
      <w:r>
        <w:t>[requirement-sys-001-7-day-battery] System Requirement: 7-Day Continuous Battery Life</w:t>
      </w:r>
    </w:p>
    <w:p>
      <w:pPr>
        <w:pStyle w:val="Heading2"/>
      </w:pPr>
      <w:r>
        <w:rPr>
          <w:color w:val="1F3A5F"/>
        </w:rPr>
        <w:t>9. Open questions</w:t>
      </w:r>
    </w:p>
    <w:p>
      <w:pPr>
        <w:pStyle w:val="ListBullet"/>
      </w:pPr>
      <w:r>
        <w:t xml:space="preserve">[question-second-pad-formulation-for-sensitive-skin] </w:t>
      </w:r>
      <w:r>
        <w:rPr>
          <w:b/>
        </w:rPr>
        <w:t>Question: Do We Need a Sensitive-Skin Pad Formulation?</w:t>
      </w:r>
      <w:r>
        <w:t xml:space="preserve"> — How many trial patients experience irritation severe enough to discontinue, and would a sensitive-skin pad variant address it in a tractable way?</w:t>
      </w:r>
    </w:p>
    <w:p>
      <w:pPr>
        <w:pStyle w:val="ListBullet"/>
      </w:pPr>
      <w:r>
        <w:t xml:space="preserve">[question-when-to-pursue-pediatric-clearance] </w:t>
      </w:r>
      <w:r>
        <w:rPr>
          <w:b/>
        </w:rPr>
        <w:t>Question: When to Pursue Pediatric Clearance?</w:t>
      </w:r>
      <w:r>
        <w:t xml:space="preserve"> — Under what conditions would Vitalisens flip from the non-pediatric pillar to actively pursuing a pediatric indication?</w:t>
      </w:r>
    </w:p>
    <w:p>
      <w:pPr>
        <w:pStyle w:val="Heading2"/>
      </w:pPr>
      <w:r>
        <w:rPr>
          <w:color w:val="1F3A5F"/>
        </w:rPr>
        <w:t>10.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3B82C4"/>
        </w:rPr>
        <w:t>Non-Goal: We Do Not Pursue Pediatric Use [pillar-no-pediatric-use]</w:t>
      </w:r>
    </w:p>
    <w:p>
      <w:r>
        <w:t>Vitalisens will not pursue indications, labeling, marketing, or clinical claims for pediatric patients (under 18) in v1 or v2 of the product.</w:t>
      </w:r>
    </w:p>
    <w:p>
      <w:r>
        <w:t>_Applies when:_ pediatric, child, children, adolescent, under-18, school-age, infant, neonatal, age-restricted indication, IFU expansion to younger populations</w:t>
      </w:r>
    </w:p>
    <w:p>
      <w:pPr>
        <w:pStyle w:val="Heading3"/>
      </w:pPr>
      <w:r>
        <w:rPr>
          <w:color w:val="3B82C4"/>
        </w:rPr>
        <w:t>Non-Goal: No Physical Documentation [pillar-no-physical-documentation]</w:t>
      </w:r>
    </w:p>
    <w:p>
      <w:r>
        <w:t>Vitalisens does not produce printed IFU, printed quick-start cards, printed user manuals, or printed in-box collateral. All documentation is online.</w:t>
      </w:r>
    </w:p>
    <w:p>
      <w:r>
        <w:t>_Applies when:_ documentation, IFU, user manual, quick start, in-box, packaging insert, printed insert, leaflet, instructions for use printing, e-IFU, electronic instructions for use, paper documentation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3B82C4"/>
        </w:rPr>
        <w:t>Decision 001: Online-Only Documentation [decision-001-online-only-documentation]</w:t>
      </w:r>
    </w:p>
    <w:p>
      <w:pPr>
        <w:pStyle w:val="ListBullet"/>
      </w:pPr>
      <w:r>
        <w:rPr>
          <w:b/>
        </w:rPr>
        <w:t>Printed IFU inserts.</w:t>
      </w:r>
      <w:r>
        <w:t xml:space="preserve"> The IFU is not printed at any point in the supply chain.</w:t>
      </w:r>
    </w:p>
    <w:p>
      <w:pPr>
        <w:pStyle w:val="ListBullet"/>
      </w:pPr>
      <w:r>
        <w:rPr>
          <w:b/>
        </w:rPr>
        <w:t>Printed quick-start cards.</w:t>
      </w:r>
      <w:r>
        <w:t xml:space="preserve"> No "getting started" cards ship in the box.</w:t>
      </w:r>
    </w:p>
    <w:p>
      <w:pPr>
        <w:pStyle w:val="ListBullet"/>
      </w:pPr>
      <w:r>
        <w:rPr>
          <w:b/>
        </w:rPr>
        <w:t>Printed user manuals.</w:t>
      </w:r>
      <w:r>
        <w:t xml:space="preserve"> No paper manuals are distributed.</w:t>
      </w:r>
    </w:p>
    <w:p>
      <w:pPr>
        <w:pStyle w:val="ListBullet"/>
      </w:pPr>
      <w:r>
        <w:rPr>
          <w:b/>
        </w:rPr>
        <w:t>Distributor-printed collateral.</w:t>
      </w:r>
      <w:r>
        <w:t xml:space="preserve"> Distributors are contractually prohibited from generating their own printed versions of the IFU or user manual.</w:t>
      </w:r>
    </w:p>
    <w:p>
      <w:pPr>
        <w:pStyle w:val="ListBullet"/>
      </w:pPr>
      <w:r>
        <w:rPr>
          <w:b/>
        </w:rPr>
        <w:t>PDF-by-email as the documentation distribution channel.</w:t>
      </w:r>
      <w:r>
        <w:t xml:space="preserve"> Documentation must live at a stable URL, not be emailed.</w:t>
      </w:r>
    </w:p>
    <w:p>
      <w:pPr>
        <w:pStyle w:val="Heading3"/>
      </w:pPr>
      <w:r>
        <w:rPr>
          <w:color w:val="3B82C4"/>
        </w:rPr>
        <w:t>Decision 002: Prescription-Only, Not Over-the-Counter [decision-002-prescription-only-not-otc]</w:t>
      </w:r>
    </w:p>
    <w:p>
      <w:pPr>
        <w:pStyle w:val="ListBullet"/>
      </w:pPr>
      <w:r>
        <w:rPr>
          <w:b/>
        </w:rPr>
        <w:t>OTC labeling.</w:t>
      </w:r>
      <w:r>
        <w:t xml:space="preserve"> Packaging and IFU will explicitly state Rx-only.</w:t>
      </w:r>
    </w:p>
    <w:p>
      <w:pPr>
        <w:pStyle w:val="ListBullet"/>
      </w:pPr>
      <w:r>
        <w:rPr>
          <w:b/>
        </w:rPr>
        <w:t>Consumer retail channels.</w:t>
      </w:r>
      <w:r>
        <w:t xml:space="preserve"> Vitalisens will not be sold in pharmacies, big-box retail, or DTC consumer e-commerce.</w:t>
      </w:r>
    </w:p>
    <w:p>
      <w:pPr>
        <w:pStyle w:val="ListBullet"/>
      </w:pPr>
      <w:r>
        <w:rPr>
          <w:b/>
        </w:rPr>
        <w:t>Consumer-direct marketing claims.</w:t>
      </w:r>
      <w:r>
        <w:t xml:space="preserve"> Marketing addresses clinicians (and patients via clinician referral), not general consumers.</w:t>
      </w:r>
    </w:p>
    <w:p>
      <w:pPr>
        <w:pStyle w:val="ListBullet"/>
      </w:pPr>
      <w:r>
        <w:rPr>
          <w:b/>
        </w:rPr>
        <w:t>OTC clearance pursuit.</w:t>
      </w:r>
      <w:r>
        <w:t xml:space="preserve"> No regulatory effort is allocated to an OTC pathway.</w:t>
      </w:r>
    </w:p>
    <w:p>
      <w:pPr>
        <w:pStyle w:val="Heading3"/>
      </w:pPr>
      <w:r>
        <w:rPr>
          <w:color w:val="3B82C4"/>
        </w:rPr>
        <w:t>Decision 003: 7-Day Pad Wear Time [decision-003-7-day-wear-not-14-day]</w:t>
      </w:r>
    </w:p>
    <w:p>
      <w:pPr>
        <w:pStyle w:val="ListBullet"/>
      </w:pPr>
      <w:r>
        <w:rPr>
          <w:b/>
        </w:rPr>
        <w:t>A 14-day Vitalisens Pad variant in v1.</w:t>
      </w:r>
      <w:r>
        <w:t xml:space="preserve"> No engineering work toward 14-day adhesion validation.</w:t>
      </w:r>
    </w:p>
    <w:p>
      <w:pPr>
        <w:pStyle w:val="ListBullet"/>
      </w:pPr>
      <w:r>
        <w:rPr>
          <w:b/>
        </w:rPr>
        <w:t>Labeling that implies extended wear.</w:t>
      </w:r>
      <w:r>
        <w:t xml:space="preserve"> IFU language will be explicit about the 7-day window.</w:t>
      </w:r>
    </w:p>
    <w:p>
      <w:pPr>
        <w:pStyle w:val="ListBullet"/>
      </w:pPr>
      <w:r>
        <w:rPr>
          <w:b/>
        </w:rPr>
        <w:t>Off-label "you can keep it on longer" marketing.</w:t>
      </w:r>
      <w:r>
        <w:t xml:space="preserve"> No language that encourages extended wear.</w:t>
      </w:r>
    </w:p>
    <w:p>
      <w:pPr>
        <w:pStyle w:val="Heading2"/>
      </w:pPr>
      <w:r>
        <w:rPr>
          <w:color w:val="1F3A5F"/>
        </w:rPr>
        <w:t>11.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3A5F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[source-citation-aha-mct-guidelines-2024]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AHA MCT Clinical Guidelines (fictional 2024 edition)</w:t>
            </w:r>
          </w:p>
        </w:tc>
      </w:tr>
      <w:tr>
        <w:tc>
          <w:tcPr>
            <w:tcW w:type="dxa" w:w="2880"/>
          </w:tcPr>
          <w:p>
            <w:r>
              <w:t>[source-customer-interview-2026-04-12-nurse-anderson]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Nurse Anderson (Northstar Cardiology, 2026-04-12)</w:t>
            </w:r>
          </w:p>
        </w:tc>
      </w:tr>
      <w:tr>
        <w:tc>
          <w:tcPr>
            <w:tcW w:type="dxa" w:w="2880"/>
          </w:tcPr>
          <w:p>
            <w:r>
              <w:t>[source-domain-expertise-saunders-cardiology-2026]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Saunders, 20 Years of Cardiology Workflow</w:t>
            </w:r>
          </w:p>
        </w:tc>
      </w:tr>
      <w:tr>
        <w:tc>
          <w:tcPr>
            <w:tcW w:type="dxa" w:w="2880"/>
          </w:tcPr>
          <w:p>
            <w:r>
              <w:t>[source-fda-510k-summary-K231234-cardiotrace]</w:t>
            </w:r>
          </w:p>
        </w:tc>
        <w:tc>
          <w:tcPr>
            <w:tcW w:type="dxa" w:w="2880"/>
          </w:tcPr>
          <w:p>
            <w:r>
              <w:t>fda-510k-summary</w:t>
            </w:r>
          </w:p>
        </w:tc>
        <w:tc>
          <w:tcPr>
            <w:tcW w:type="dxa" w:w="2880"/>
          </w:tcPr>
          <w:p>
            <w:r>
              <w:t>FDA 510(k) Summary: K231234 (CardioTrace Pro v2)</w:t>
            </w:r>
          </w:p>
        </w:tc>
      </w:tr>
      <w:tr>
        <w:tc>
          <w:tcPr>
            <w:tcW w:type="dxa" w:w="2880"/>
          </w:tcPr>
          <w:p>
            <w:r>
              <w:t>[source-internal-data-q1-2026-pad-attach-rate]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Pad Attach Rate Cohort</w:t>
            </w:r>
          </w:p>
        </w:tc>
      </w:tr>
      <w:tr>
        <w:tc>
          <w:tcPr>
            <w:tcW w:type="dxa" w:w="2880"/>
          </w:tcPr>
          <w:p>
            <w:r>
              <w:t>[source-market-data-cardiac-monitor-tam-2025]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US Ambulatory Cardiac Monitor TAM (fictional 2025 report)</w:t>
            </w:r>
          </w:p>
        </w:tc>
      </w:tr>
      <w:tr>
        <w:tc>
          <w:tcPr>
            <w:tcW w:type="dxa" w:w="2880"/>
          </w:tcPr>
          <w:p>
            <w:r>
              <w:t>[source-press-release-cardiotrace-2025-q3-launch]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CardioTrace Announces Pro Expanded Clearance (2025 Q3)</w:t>
            </w:r>
          </w:p>
        </w:tc>
      </w:tr>
      <w:tr>
        <w:tc>
          <w:tcPr>
            <w:tcW w:type="dxa" w:w="2880"/>
          </w:tcPr>
          <w:p>
            <w:r>
              <w:t>[source-strategic-thesis-disposable-pad-recurring-revenue]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Disposable Pad as Recurring Revenue Engine</w:t>
            </w:r>
          </w:p>
        </w:tc>
      </w:tr>
      <w:tr>
        <w:tc>
          <w:tcPr>
            <w:tcW w:type="dxa" w:w="2880"/>
          </w:tcPr>
          <w:p>
            <w:r>
              <w:t>[source-vision-saunders-2026-cardiac-workflow-thesis]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The Cardiac Workflow Bottleneck (Saunders, 2026)</w:t>
            </w:r>
          </w:p>
        </w:tc>
      </w:tr>
      <w:tr>
        <w:tc>
          <w:tcPr>
            <w:tcW w:type="dxa" w:w="2880"/>
          </w:tcPr>
          <w:p>
            <w:r>
              <w:t>[source-web-snapshot-cardiotrace-product-page-2026-05-20]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CardioTrace Pro Product Page (2026-05-20)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pPr>
        <w:spacing w:before="120" w:after="120"/>
        <w:ind w:left="360" w:right="360"/>
      </w:pPr>
      <w:r>
        <w:rPr>
          <w:i/>
        </w:rPr>
        <w:t>This is a planning artifact. It is not a controlled document and is not part of any design history file, risk management file, or traceability matrix per ISO 14971, IEC 62304, or 21 CFR 820.</w:t>
      </w:r>
    </w:p>
    <w:p>
      <w:r>
        <w:t xml:space="preserve">_company-brain v0.4.0 · MRD generated 2026-05-25 from vault at </w:t>
      </w:r>
      <w:r>
        <w:rPr>
          <w:rFonts w:ascii="Courier New" w:hAnsi="Courier New"/>
        </w:rPr>
        <w:t>/Volumes/Casima/claudeCode/CompanyWiki/company-brain/examples/meddev-fictional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Serif Pro" w:hAnsi="Source Serif Pr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